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21379" w14:textId="48FA0C75" w:rsidR="00092481" w:rsidRDefault="00092481" w:rsidP="00092481">
      <w:pPr>
        <w:pStyle w:val="Copy"/>
        <w:pBdr>
          <w:bottom w:val="single" w:sz="6" w:space="1" w:color="auto"/>
        </w:pBdr>
        <w:rPr>
          <w:b/>
          <w:bCs/>
        </w:rPr>
      </w:pPr>
      <w:r w:rsidRPr="00092481">
        <w:rPr>
          <w:b/>
          <w:bCs/>
        </w:rPr>
        <w:t>Resource Guide Series:</w:t>
      </w:r>
      <w:r>
        <w:rPr>
          <w:b/>
          <w:bCs/>
        </w:rPr>
        <w:t xml:space="preserve"> </w:t>
      </w:r>
      <w:r>
        <w:rPr>
          <w:b/>
          <w:bCs/>
        </w:rPr>
        <w:br/>
      </w:r>
      <w:r w:rsidR="00F61862" w:rsidRPr="00F61862">
        <w:rPr>
          <w:b/>
          <w:bCs/>
        </w:rPr>
        <w:t>Honoring Community Excellence</w:t>
      </w:r>
    </w:p>
    <w:p w14:paraId="0BA119F2" w14:textId="77777777" w:rsidR="00092481" w:rsidRDefault="00092481" w:rsidP="00092481">
      <w:pPr>
        <w:pStyle w:val="Copy"/>
        <w:rPr>
          <w:b/>
          <w:bCs/>
        </w:rPr>
      </w:pPr>
    </w:p>
    <w:p w14:paraId="10D2D75C" w14:textId="77777777" w:rsidR="00092481" w:rsidRPr="00092481" w:rsidRDefault="00092481" w:rsidP="00092481">
      <w:pPr>
        <w:pStyle w:val="Copy"/>
        <w:rPr>
          <w:b/>
          <w:bCs/>
        </w:rPr>
      </w:pPr>
    </w:p>
    <w:p w14:paraId="417887AC" w14:textId="77777777" w:rsidR="00F61862" w:rsidRPr="00F61862" w:rsidRDefault="00F61862" w:rsidP="00F61862">
      <w:pPr>
        <w:pStyle w:val="Heading"/>
        <w:rPr>
          <w:sz w:val="48"/>
          <w:szCs w:val="48"/>
        </w:rPr>
      </w:pPr>
      <w:r w:rsidRPr="00F61862">
        <w:rPr>
          <w:sz w:val="48"/>
          <w:szCs w:val="48"/>
        </w:rPr>
        <w:t>Honoring Community Excellence</w:t>
      </w:r>
    </w:p>
    <w:p w14:paraId="0CE164BD" w14:textId="7D1DBE65" w:rsidR="00F61862" w:rsidRPr="00F61862" w:rsidRDefault="00F61862" w:rsidP="00F61862">
      <w:pPr>
        <w:pStyle w:val="Heading"/>
        <w:ind w:right="-54"/>
        <w:rPr>
          <w:b w:val="0"/>
          <w:bCs w:val="0"/>
          <w:sz w:val="120"/>
          <w:szCs w:val="120"/>
        </w:rPr>
      </w:pPr>
      <w:r w:rsidRPr="00F61862">
        <w:rPr>
          <w:b w:val="0"/>
          <w:bCs w:val="0"/>
          <w:sz w:val="120"/>
          <w:szCs w:val="120"/>
        </w:rPr>
        <w:t xml:space="preserve">Examples of Innovation </w:t>
      </w:r>
      <w:r w:rsidRPr="00F61862">
        <w:rPr>
          <w:b w:val="0"/>
          <w:bCs w:val="0"/>
          <w:sz w:val="120"/>
          <w:szCs w:val="120"/>
        </w:rPr>
        <w:br/>
        <w:t>and Inspiration</w:t>
      </w:r>
    </w:p>
    <w:p w14:paraId="56E475C9" w14:textId="3DE25C89" w:rsidR="008E2A89" w:rsidRPr="008E2A89" w:rsidRDefault="008E2A89" w:rsidP="008E2A89">
      <w:pPr>
        <w:pStyle w:val="Heading"/>
        <w:ind w:right="-54"/>
        <w:rPr>
          <w:b w:val="0"/>
          <w:bCs w:val="0"/>
          <w:sz w:val="120"/>
          <w:szCs w:val="120"/>
        </w:rPr>
      </w:pPr>
    </w:p>
    <w:p w14:paraId="14309DB1" w14:textId="77777777" w:rsidR="00F717D9" w:rsidRPr="00092481" w:rsidRDefault="00F717D9" w:rsidP="0033213F">
      <w:pPr>
        <w:pStyle w:val="Heading"/>
        <w:rPr>
          <w:b w:val="0"/>
          <w:bCs w:val="0"/>
          <w:sz w:val="112"/>
          <w:szCs w:val="112"/>
        </w:rPr>
        <w:sectPr w:rsidR="00F717D9" w:rsidRPr="00092481" w:rsidSect="00092481">
          <w:footerReference w:type="even" r:id="rId7"/>
          <w:footerReference w:type="default" r:id="rId8"/>
          <w:pgSz w:w="12240" w:h="15840"/>
          <w:pgMar w:top="720" w:right="1152" w:bottom="1152" w:left="1152" w:header="720" w:footer="720" w:gutter="0"/>
          <w:cols w:space="720"/>
          <w:docGrid w:linePitch="360"/>
        </w:sectPr>
      </w:pPr>
    </w:p>
    <w:p w14:paraId="2D8C6511" w14:textId="77777777" w:rsidR="0033213F" w:rsidRPr="0033213F" w:rsidRDefault="0033213F" w:rsidP="0033213F">
      <w:pPr>
        <w:pStyle w:val="Heading"/>
      </w:pPr>
      <w:r w:rsidRPr="0033213F">
        <w:lastRenderedPageBreak/>
        <w:t>Foreword</w:t>
      </w:r>
    </w:p>
    <w:p w14:paraId="5E80C3EC" w14:textId="77777777" w:rsidR="00F61862" w:rsidRPr="00F61862" w:rsidRDefault="00F61862" w:rsidP="00F61862">
      <w:pPr>
        <w:pStyle w:val="Copy"/>
        <w:rPr>
          <w:b/>
          <w:bCs/>
        </w:rPr>
      </w:pPr>
      <w:r w:rsidRPr="00F61862">
        <w:rPr>
          <w:b/>
          <w:bCs/>
        </w:rPr>
        <w:t xml:space="preserve">Connecticut is a wellspring of ideas and innovations on how to foster aging, dementia, and disability inclusivity. This municipal resource guide highlights recipients of the Connecticut Age Well Collaborative’s first annual Wellspring Awards. </w:t>
      </w:r>
    </w:p>
    <w:p w14:paraId="0CE92056" w14:textId="77777777" w:rsidR="00F61862" w:rsidRPr="00F61862" w:rsidRDefault="00F61862" w:rsidP="00F61862">
      <w:pPr>
        <w:pStyle w:val="Copy"/>
      </w:pPr>
      <w:r w:rsidRPr="00F61862">
        <w:t xml:space="preserve">Following a call for nominations, a review committee selected recent or ongoing projects, policies and initiatives that have long-term, systemic community impact, going beyond provision of individual services and supports and integrate the voices of individuals with lived experience. </w:t>
      </w:r>
    </w:p>
    <w:p w14:paraId="1D99CF4B" w14:textId="668A306C" w:rsidR="0033213F" w:rsidRPr="00F61862" w:rsidRDefault="00F61862" w:rsidP="00F61862">
      <w:pPr>
        <w:pStyle w:val="Copy"/>
      </w:pPr>
      <w:r w:rsidRPr="00F61862">
        <w:t xml:space="preserve">This resource guide, the third in this series for local government, was produced by the Connecticut Age Well Collaborative, a statewide, cross-sector initiative to foster more aging, dementia, and disability-inclusive communities, resulting in more just, equitable communities for everyone. Delegated by the Commission on Women, Children, Seniors, Equity &amp; Opportunity, the Connecticut Age Well Collaborative is leading the state’s livable </w:t>
      </w:r>
      <w:proofErr w:type="gramStart"/>
      <w:r w:rsidRPr="00F61862">
        <w:t>communities</w:t>
      </w:r>
      <w:proofErr w:type="gramEnd"/>
      <w:r w:rsidRPr="00F61862">
        <w:t xml:space="preserve"> initiative (Conn. Gen. Stat. Section 17b-420a).</w:t>
      </w:r>
      <w:r w:rsidR="0033213F" w:rsidRPr="00F61862">
        <w:br w:type="page"/>
      </w:r>
    </w:p>
    <w:p w14:paraId="4F455DE0" w14:textId="5789BEE3" w:rsidR="009B031D" w:rsidRDefault="00F61862" w:rsidP="00F61862">
      <w:pPr>
        <w:pStyle w:val="Heading"/>
      </w:pPr>
      <w:r w:rsidRPr="00F61862">
        <w:lastRenderedPageBreak/>
        <w:t>Age-Friendly Glastonbury</w:t>
      </w:r>
    </w:p>
    <w:p w14:paraId="03674EAD" w14:textId="77777777" w:rsidR="00F61862" w:rsidRPr="00F61862" w:rsidRDefault="00F61862" w:rsidP="00F61862">
      <w:pPr>
        <w:pStyle w:val="Copy"/>
      </w:pPr>
      <w:r w:rsidRPr="00F61862">
        <w:rPr>
          <w:b/>
          <w:bCs/>
        </w:rPr>
        <w:t>For their community-wide effort to address the diverse and evolving needs of community members of all ages, especially in relation to infrastructure, outdoor spaces, and housing.</w:t>
      </w:r>
    </w:p>
    <w:p w14:paraId="2D420636" w14:textId="77777777" w:rsidR="00F61862" w:rsidRPr="00F61862" w:rsidRDefault="00F61862" w:rsidP="00F61862">
      <w:pPr>
        <w:pStyle w:val="Copy"/>
      </w:pPr>
      <w:r w:rsidRPr="00F61862">
        <w:t xml:space="preserve">In the spring of 2019, the Town of Glastonbury launched </w:t>
      </w:r>
      <w:r w:rsidRPr="00F61862">
        <w:br/>
        <w:t>an ambitious, three-year process of learning and planning—collecting input from residents of all ages, business and community groups, and religious organizations, and collaborating across numerous town departments. The result was the Age-Friendly Community Action Plan: a road map to guide the town toward its goal of building a more inclusive community for all ages.</w:t>
      </w:r>
    </w:p>
    <w:p w14:paraId="58F50468" w14:textId="77777777" w:rsidR="00F61862" w:rsidRPr="00F61862" w:rsidRDefault="00F61862" w:rsidP="00F61862">
      <w:pPr>
        <w:pStyle w:val="Copy"/>
      </w:pPr>
      <w:r w:rsidRPr="00F61862">
        <w:t xml:space="preserve">The plan establishes recommendations and action points to achieve Glastonbury’s goals—providing services to address the needs of all residents, increasing awareness of the needs of older adults, sharing resources that facilitate a resident’s ability to age in place, leveraging the value of older adults to support intergenerational opportunities, and providing appropriate and affordable housing options across the lifespan. Community listening sessions and focus groups </w:t>
      </w:r>
      <w:r w:rsidRPr="00F61862">
        <w:lastRenderedPageBreak/>
        <w:t>identified infrastructure, outdoor spaces, and housing as priority areas.</w:t>
      </w:r>
    </w:p>
    <w:p w14:paraId="4AB6EBDD" w14:textId="77777777" w:rsidR="00F61862" w:rsidRPr="00F61862" w:rsidRDefault="00F61862" w:rsidP="00F61862">
      <w:pPr>
        <w:pStyle w:val="Copy"/>
      </w:pPr>
      <w:r w:rsidRPr="00F61862">
        <w:t>In the first year of implementing their Action Plan, Age-Friendly Glastonbury received funding from the State of Connecticut’s Small Town Economic Assistance Program (STEAP), the AARP Livable Communities Grant Program, and the North Central Area Agency on Aging, as well as dedicated funds from the Town of Glastonbury. In December 2021, Glastonbury was recognized as a certified member of the AARP Network of Age-Friendly Communities.</w:t>
      </w:r>
    </w:p>
    <w:p w14:paraId="66834E35" w14:textId="77777777" w:rsidR="00F61862" w:rsidRPr="00F61862" w:rsidRDefault="00F61862" w:rsidP="00F61862">
      <w:pPr>
        <w:pStyle w:val="Heading"/>
        <w:rPr>
          <w:sz w:val="48"/>
          <w:szCs w:val="48"/>
        </w:rPr>
      </w:pPr>
      <w:r w:rsidRPr="00F61862">
        <w:rPr>
          <w:sz w:val="48"/>
          <w:szCs w:val="48"/>
        </w:rPr>
        <w:t>Partners &amp; Stakeholders</w:t>
      </w:r>
    </w:p>
    <w:p w14:paraId="565C27B0" w14:textId="77777777" w:rsidR="00F61862" w:rsidRPr="00F61862" w:rsidRDefault="00F61862" w:rsidP="00F61862">
      <w:pPr>
        <w:pStyle w:val="Copy"/>
      </w:pPr>
      <w:r w:rsidRPr="00F61862">
        <w:t>Town of Glastonbury</w:t>
      </w:r>
    </w:p>
    <w:p w14:paraId="286B5C03" w14:textId="77777777" w:rsidR="00F61862" w:rsidRPr="00F61862" w:rsidRDefault="00F61862" w:rsidP="00F61862">
      <w:pPr>
        <w:pStyle w:val="Copy"/>
      </w:pPr>
      <w:r w:rsidRPr="00F61862">
        <w:t>Commission on Aging</w:t>
      </w:r>
    </w:p>
    <w:p w14:paraId="39B5A719" w14:textId="77777777" w:rsidR="00F61862" w:rsidRPr="00F61862" w:rsidRDefault="00F61862" w:rsidP="00F61862">
      <w:pPr>
        <w:pStyle w:val="Copy"/>
      </w:pPr>
      <w:r w:rsidRPr="00F61862">
        <w:t>Community Development</w:t>
      </w:r>
    </w:p>
    <w:p w14:paraId="08D832EB" w14:textId="77777777" w:rsidR="00F61862" w:rsidRPr="00F61862" w:rsidRDefault="00F61862" w:rsidP="00F61862">
      <w:pPr>
        <w:pStyle w:val="Copy"/>
      </w:pPr>
      <w:r w:rsidRPr="00F61862">
        <w:t>Engineering Department</w:t>
      </w:r>
    </w:p>
    <w:p w14:paraId="692603C3" w14:textId="77777777" w:rsidR="00F61862" w:rsidRPr="00F61862" w:rsidRDefault="00F61862" w:rsidP="00F61862">
      <w:pPr>
        <w:pStyle w:val="Copy"/>
      </w:pPr>
      <w:r w:rsidRPr="00F61862">
        <w:t>Health Department</w:t>
      </w:r>
    </w:p>
    <w:p w14:paraId="726B37FD" w14:textId="77777777" w:rsidR="00F61862" w:rsidRPr="00F61862" w:rsidRDefault="00F61862" w:rsidP="00F61862">
      <w:pPr>
        <w:pStyle w:val="Copy"/>
      </w:pPr>
      <w:r w:rsidRPr="00F61862">
        <w:t>Housing Authority</w:t>
      </w:r>
    </w:p>
    <w:p w14:paraId="164FD12F" w14:textId="77777777" w:rsidR="00F61862" w:rsidRPr="00F61862" w:rsidRDefault="00F61862" w:rsidP="00F61862">
      <w:pPr>
        <w:pStyle w:val="Copy"/>
      </w:pPr>
      <w:r w:rsidRPr="00F61862">
        <w:lastRenderedPageBreak/>
        <w:t>Parks &amp; Recreation Department</w:t>
      </w:r>
    </w:p>
    <w:p w14:paraId="0F18BDB0" w14:textId="77777777" w:rsidR="00F61862" w:rsidRPr="00F61862" w:rsidRDefault="00F61862" w:rsidP="00F61862">
      <w:pPr>
        <w:pStyle w:val="Copy"/>
      </w:pPr>
      <w:r w:rsidRPr="00F61862">
        <w:t>Senior and Social Services</w:t>
      </w:r>
    </w:p>
    <w:p w14:paraId="4331B299" w14:textId="77777777" w:rsidR="00F61862" w:rsidRPr="00F61862" w:rsidRDefault="00F61862" w:rsidP="00F61862">
      <w:pPr>
        <w:pStyle w:val="Copy"/>
      </w:pPr>
      <w:r w:rsidRPr="00F61862">
        <w:t>Town Council</w:t>
      </w:r>
    </w:p>
    <w:p w14:paraId="649D711F" w14:textId="77777777" w:rsidR="00F61862" w:rsidRPr="00F61862" w:rsidRDefault="00F61862" w:rsidP="00F61862">
      <w:pPr>
        <w:pStyle w:val="Copy"/>
      </w:pPr>
      <w:r w:rsidRPr="00F61862">
        <w:t>Town Manager</w:t>
      </w:r>
    </w:p>
    <w:p w14:paraId="07098E6D" w14:textId="77777777" w:rsidR="00F61862" w:rsidRPr="00F61862" w:rsidRDefault="00F61862" w:rsidP="00F61862">
      <w:pPr>
        <w:pStyle w:val="Copy"/>
      </w:pPr>
      <w:r w:rsidRPr="00F61862">
        <w:t>Youth and Family Services</w:t>
      </w:r>
    </w:p>
    <w:p w14:paraId="14A9AF1C" w14:textId="77777777" w:rsidR="00F61862" w:rsidRPr="00F61862" w:rsidRDefault="00F61862" w:rsidP="00F61862">
      <w:pPr>
        <w:pStyle w:val="Copy"/>
      </w:pPr>
      <w:r w:rsidRPr="00F61862">
        <w:t xml:space="preserve">Bike Walk Glastonbury </w:t>
      </w:r>
    </w:p>
    <w:p w14:paraId="4CAF91E6" w14:textId="38E1A9BE" w:rsidR="00F61862" w:rsidRPr="00F61862" w:rsidRDefault="00F61862" w:rsidP="00F61862">
      <w:pPr>
        <w:pStyle w:val="Copy"/>
      </w:pPr>
      <w:r w:rsidRPr="00F61862">
        <w:t>Glastonbury Chamber of Commerce</w:t>
      </w:r>
    </w:p>
    <w:p w14:paraId="067CFE66" w14:textId="77777777" w:rsidR="00F61862" w:rsidRPr="00F61862" w:rsidRDefault="00F61862" w:rsidP="00F61862">
      <w:pPr>
        <w:pStyle w:val="Copy"/>
      </w:pPr>
      <w:r w:rsidRPr="00F61862">
        <w:t>Glastonbury Police Department</w:t>
      </w:r>
    </w:p>
    <w:p w14:paraId="04383A5E" w14:textId="77777777" w:rsidR="00F61862" w:rsidRPr="00F61862" w:rsidRDefault="00F61862" w:rsidP="00F61862">
      <w:pPr>
        <w:pStyle w:val="Copy"/>
      </w:pPr>
      <w:r w:rsidRPr="00F61862">
        <w:t>Welles Turner Library</w:t>
      </w:r>
    </w:p>
    <w:p w14:paraId="7C23DB2C" w14:textId="77777777" w:rsidR="00F61862" w:rsidRPr="00F61862" w:rsidRDefault="00F61862" w:rsidP="00F61862">
      <w:pPr>
        <w:pStyle w:val="Copy"/>
      </w:pPr>
      <w:r w:rsidRPr="00F61862">
        <w:t>Age-Friendly Glastonbury also received planning and implementation support from local religious institutions and residents of all ages.</w:t>
      </w:r>
    </w:p>
    <w:p w14:paraId="0FC8BC52" w14:textId="77777777" w:rsidR="00F61862" w:rsidRDefault="00F61862">
      <w:pPr>
        <w:rPr>
          <w:rFonts w:ascii="Arial" w:hAnsi="Arial" w:cs="Arial"/>
          <w:b/>
          <w:bCs/>
          <w:sz w:val="48"/>
          <w:szCs w:val="48"/>
        </w:rPr>
      </w:pPr>
      <w:r>
        <w:rPr>
          <w:sz w:val="48"/>
          <w:szCs w:val="48"/>
        </w:rPr>
        <w:br w:type="page"/>
      </w:r>
    </w:p>
    <w:p w14:paraId="069C1B94" w14:textId="6205B39F" w:rsidR="00F61862" w:rsidRPr="00F61862" w:rsidRDefault="00F61862" w:rsidP="00F61862">
      <w:pPr>
        <w:pStyle w:val="Heading"/>
        <w:rPr>
          <w:sz w:val="48"/>
          <w:szCs w:val="48"/>
        </w:rPr>
      </w:pPr>
      <w:r w:rsidRPr="00F61862">
        <w:rPr>
          <w:sz w:val="48"/>
          <w:szCs w:val="48"/>
        </w:rPr>
        <w:lastRenderedPageBreak/>
        <w:t>Programs &amp; Initiatives</w:t>
      </w:r>
    </w:p>
    <w:p w14:paraId="2DDAA228" w14:textId="77777777" w:rsidR="00F61862" w:rsidRPr="00F61862" w:rsidRDefault="00F61862" w:rsidP="00F61862">
      <w:pPr>
        <w:pStyle w:val="Copy"/>
      </w:pPr>
      <w:r w:rsidRPr="00F61862">
        <w:t>Age-Friendly Glastonbury has inspired new initiatives and provided support to continue and expand existing ones.</w:t>
      </w:r>
    </w:p>
    <w:p w14:paraId="378BA482" w14:textId="77777777" w:rsidR="00F61862" w:rsidRPr="00F61862" w:rsidRDefault="00F61862" w:rsidP="00F61862">
      <w:pPr>
        <w:pStyle w:val="Copy"/>
      </w:pPr>
      <w:r w:rsidRPr="00F61862">
        <w:rPr>
          <w:b/>
          <w:bCs/>
        </w:rPr>
        <w:t>Walkability and accessibility improvements,</w:t>
      </w:r>
      <w:r w:rsidRPr="00F61862">
        <w:t xml:space="preserve"> including accessible benches and shaded arbors for rest in the Town Center, strategically placed lighting, and accessibility to parks and athletic fields.</w:t>
      </w:r>
    </w:p>
    <w:p w14:paraId="0332F01D" w14:textId="77777777" w:rsidR="00F61862" w:rsidRPr="00F61862" w:rsidRDefault="00F61862" w:rsidP="00F61862">
      <w:pPr>
        <w:pStyle w:val="Copy"/>
      </w:pPr>
      <w:r w:rsidRPr="00F61862">
        <w:rPr>
          <w:b/>
          <w:bCs/>
        </w:rPr>
        <w:t>Poetry in the Parks,</w:t>
      </w:r>
      <w:r w:rsidRPr="00F61862">
        <w:t xml:space="preserve"> encouraging discovery of Glastonbury’s public parks and open spaces, through signs and banners featuring excerpts from favorite poems.</w:t>
      </w:r>
    </w:p>
    <w:p w14:paraId="543236B1" w14:textId="77777777" w:rsidR="00F61862" w:rsidRPr="00F61862" w:rsidRDefault="00F61862" w:rsidP="00F61862">
      <w:pPr>
        <w:pStyle w:val="Copy"/>
      </w:pPr>
      <w:r w:rsidRPr="00F61862">
        <w:rPr>
          <w:b/>
          <w:bCs/>
        </w:rPr>
        <w:t>Hiking and walking mobile app,</w:t>
      </w:r>
      <w:r w:rsidRPr="00F61862">
        <w:t xml:space="preserve"> supporting safe community access to local hiking trails, with downloadable maps, trail facts, and more.</w:t>
      </w:r>
    </w:p>
    <w:p w14:paraId="2568F9F3" w14:textId="77777777" w:rsidR="00F61862" w:rsidRPr="00F61862" w:rsidRDefault="00F61862" w:rsidP="00F61862">
      <w:pPr>
        <w:pStyle w:val="Copy"/>
      </w:pPr>
      <w:r w:rsidRPr="00F61862">
        <w:rPr>
          <w:b/>
          <w:bCs/>
        </w:rPr>
        <w:t>The Friendship Circle,</w:t>
      </w:r>
      <w:r w:rsidRPr="00F61862">
        <w:t xml:space="preserve"> providing residents with early-stage dementia with monthly activities and opportunities for social engagement.</w:t>
      </w:r>
    </w:p>
    <w:p w14:paraId="47499AFF" w14:textId="77777777" w:rsidR="00F61862" w:rsidRPr="00F61862" w:rsidRDefault="00F61862" w:rsidP="00F61862">
      <w:pPr>
        <w:pStyle w:val="Copy"/>
      </w:pPr>
      <w:r w:rsidRPr="00F61862">
        <w:rPr>
          <w:b/>
          <w:bCs/>
        </w:rPr>
        <w:t>The Caregiver Support Series,</w:t>
      </w:r>
      <w:r w:rsidRPr="00F61862">
        <w:t xml:space="preserve"> offering education and support to people caring for loved ones with dementia. </w:t>
      </w:r>
      <w:r w:rsidRPr="00F61862">
        <w:br/>
        <w:t>In partnership with Hartford Healthcare.</w:t>
      </w:r>
    </w:p>
    <w:p w14:paraId="6DCBF98F" w14:textId="77777777" w:rsidR="00F61862" w:rsidRPr="00F61862" w:rsidRDefault="00F61862" w:rsidP="00F61862">
      <w:pPr>
        <w:pStyle w:val="Copy"/>
      </w:pPr>
      <w:r w:rsidRPr="00F61862">
        <w:rPr>
          <w:b/>
          <w:bCs/>
        </w:rPr>
        <w:lastRenderedPageBreak/>
        <w:t>Eye Openers Low Vision Support Group,</w:t>
      </w:r>
      <w:r w:rsidRPr="00F61862">
        <w:t xml:space="preserve"> a space to share concerns, questions, solutions, resources, challenges, and celebrations for residents dealing with low vision or loss of sight.</w:t>
      </w:r>
    </w:p>
    <w:p w14:paraId="34D34143" w14:textId="58D3577E" w:rsidR="00F61862" w:rsidRDefault="00F61862" w:rsidP="00F61862">
      <w:pPr>
        <w:pStyle w:val="Copy"/>
      </w:pPr>
      <w:r w:rsidRPr="00F61862">
        <w:rPr>
          <w:b/>
          <w:bCs/>
        </w:rPr>
        <w:t>The Chores Program,</w:t>
      </w:r>
      <w:r w:rsidRPr="00F61862">
        <w:t xml:space="preserve"> helping residents over age 60 or living with disabilities to stay in their homes by connecting them with volunteers to assist with yard work or light housework.</w:t>
      </w:r>
    </w:p>
    <w:p w14:paraId="3ED05D6E" w14:textId="77777777" w:rsidR="00F61862" w:rsidRDefault="00F61862">
      <w:pPr>
        <w:rPr>
          <w:rFonts w:ascii="Arial" w:hAnsi="Arial" w:cs="Arial"/>
          <w:sz w:val="36"/>
          <w:szCs w:val="36"/>
        </w:rPr>
      </w:pPr>
      <w:r>
        <w:br w:type="page"/>
      </w:r>
    </w:p>
    <w:p w14:paraId="5765E792" w14:textId="1E04CAB8" w:rsidR="00F61862" w:rsidRPr="00F61862" w:rsidRDefault="00F61862" w:rsidP="00F61862">
      <w:pPr>
        <w:pStyle w:val="Heading"/>
      </w:pPr>
      <w:r w:rsidRPr="00F61862">
        <w:lastRenderedPageBreak/>
        <w:t xml:space="preserve">Thrive55+ Active Living </w:t>
      </w:r>
      <w:r w:rsidR="00EB49AB">
        <w:br/>
      </w:r>
      <w:r w:rsidRPr="00F61862">
        <w:t>Center, Groton</w:t>
      </w:r>
    </w:p>
    <w:p w14:paraId="7B71A0A1" w14:textId="77777777" w:rsidR="00F61862" w:rsidRPr="00F61862" w:rsidRDefault="00F61862" w:rsidP="00F61862">
      <w:pPr>
        <w:pStyle w:val="Copy"/>
      </w:pPr>
      <w:r w:rsidRPr="00F61862">
        <w:rPr>
          <w:b/>
          <w:bCs/>
        </w:rPr>
        <w:t>For their work toward adopting a new branding identity and for their inclusion efforts for individuals with dementia or socialization issues.</w:t>
      </w:r>
    </w:p>
    <w:p w14:paraId="512C4376" w14:textId="77777777" w:rsidR="00F61862" w:rsidRPr="00F61862" w:rsidRDefault="00F61862" w:rsidP="00F61862">
      <w:pPr>
        <w:pStyle w:val="Copy"/>
      </w:pPr>
      <w:r w:rsidRPr="00F61862">
        <w:t xml:space="preserve">After almost 50 years of operation, the Groton Senior Center—a municipal initiative under the umbrella of Department of Parks and Recreation—decided it was time for a change. And </w:t>
      </w:r>
      <w:proofErr w:type="gramStart"/>
      <w:r w:rsidRPr="00F61862">
        <w:t>so</w:t>
      </w:r>
      <w:proofErr w:type="gramEnd"/>
      <w:r w:rsidRPr="00F61862">
        <w:t xml:space="preserve"> in 2021, following an extensive community study, they rebranded as Thrive55+ Active Living Center, dropping the term “Senior” in favor of a more positive expression of the center’s mission.</w:t>
      </w:r>
    </w:p>
    <w:p w14:paraId="2A24F330" w14:textId="77777777" w:rsidR="00F61862" w:rsidRPr="00F61862" w:rsidRDefault="00F61862" w:rsidP="00F61862">
      <w:pPr>
        <w:pStyle w:val="Copy"/>
      </w:pPr>
      <w:r w:rsidRPr="00F61862">
        <w:t xml:space="preserve">But rethinking the status quo comes naturally to Thrive55+. Embracing their role as a safe place for families to drop off loved ones with dementia, the center started looking for ways to truly engage those community members—ultimately leading to Discover Connections, a social program for people with mild to moderate cognitive issues. Positive impacts are easy to </w:t>
      </w:r>
      <w:proofErr w:type="gramStart"/>
      <w:r w:rsidRPr="00F61862">
        <w:t>see:</w:t>
      </w:r>
      <w:proofErr w:type="gramEnd"/>
      <w:r w:rsidRPr="00F61862">
        <w:t xml:space="preserve"> regular program-goers smile more, talk more, and are more integrated into the Thrive55+ community than ever before. Participant input is key to the program’s success, </w:t>
      </w:r>
      <w:r w:rsidRPr="00F61862">
        <w:lastRenderedPageBreak/>
        <w:t xml:space="preserve">guiding topics for the twice-monthly meetings and providing inspiration and support for additional projects, such as Project Lifesaver, a public safety initiative that helps locate people with dementia who wander, and </w:t>
      </w:r>
      <w:r w:rsidRPr="00F61862">
        <w:rPr>
          <w:u w:val="thick"/>
        </w:rPr>
        <w:t>Portraits of Life: Honoring Legacies</w:t>
      </w:r>
      <w:r w:rsidRPr="00F61862">
        <w:t xml:space="preserve">, an exhibition of portraits with accompanying biographies of community members with Alzheimer’s disease and related dementias. </w:t>
      </w:r>
    </w:p>
    <w:p w14:paraId="669252CD" w14:textId="77777777" w:rsidR="00F61862" w:rsidRPr="00F61862" w:rsidRDefault="00F61862" w:rsidP="00F61862">
      <w:pPr>
        <w:pStyle w:val="Copy"/>
      </w:pPr>
      <w:r w:rsidRPr="00F61862">
        <w:t xml:space="preserve">In 2022, Thrive55+ received the Connecticut Conference of Municipalities Topical Award for Innovation in Diversity, Equity, and Inclusion for their programming for people with mild to moderate dementia. In 2021, </w:t>
      </w:r>
      <w:r w:rsidRPr="00F61862">
        <w:rPr>
          <w:u w:val="thick"/>
        </w:rPr>
        <w:t>Portraits of Life</w:t>
      </w:r>
      <w:r w:rsidRPr="00F61862">
        <w:t xml:space="preserve"> was recognized as a Program of Excellence by the National Institute of Senior Centers.</w:t>
      </w:r>
    </w:p>
    <w:p w14:paraId="167F5E90" w14:textId="77777777" w:rsidR="00F61862" w:rsidRPr="00F61862" w:rsidRDefault="00F61862" w:rsidP="00F61862">
      <w:pPr>
        <w:pStyle w:val="Heading"/>
        <w:rPr>
          <w:sz w:val="48"/>
          <w:szCs w:val="48"/>
        </w:rPr>
      </w:pPr>
      <w:r w:rsidRPr="00F61862">
        <w:rPr>
          <w:sz w:val="48"/>
          <w:szCs w:val="48"/>
        </w:rPr>
        <w:t>Partners &amp; Stakeholders</w:t>
      </w:r>
    </w:p>
    <w:p w14:paraId="2F5B76DB" w14:textId="77777777" w:rsidR="00F61862" w:rsidRPr="00F61862" w:rsidRDefault="00F61862" w:rsidP="00F61862">
      <w:pPr>
        <w:pStyle w:val="Copy"/>
      </w:pPr>
      <w:r w:rsidRPr="00F61862">
        <w:t>Ayer Neuroscience Institute, Hartford Healthcare</w:t>
      </w:r>
    </w:p>
    <w:p w14:paraId="62EB8068" w14:textId="77777777" w:rsidR="00F61862" w:rsidRPr="00F61862" w:rsidRDefault="00F61862" w:rsidP="00F61862">
      <w:pPr>
        <w:pStyle w:val="Copy"/>
      </w:pPr>
      <w:r w:rsidRPr="00F61862">
        <w:t>Alzheimer’s Association Connecticut Chapter</w:t>
      </w:r>
    </w:p>
    <w:p w14:paraId="7FA9EF3E" w14:textId="77777777" w:rsidR="00F61862" w:rsidRPr="00F61862" w:rsidRDefault="00F61862" w:rsidP="00F61862">
      <w:pPr>
        <w:pStyle w:val="Copy"/>
      </w:pPr>
      <w:r w:rsidRPr="00F61862">
        <w:t>Yale New Haven Health</w:t>
      </w:r>
    </w:p>
    <w:p w14:paraId="354C1915" w14:textId="77777777" w:rsidR="00F61862" w:rsidRPr="00F61862" w:rsidRDefault="00F61862" w:rsidP="00F61862">
      <w:pPr>
        <w:pStyle w:val="Copy"/>
      </w:pPr>
      <w:r w:rsidRPr="00F61862">
        <w:t>Visiting Angels</w:t>
      </w:r>
    </w:p>
    <w:p w14:paraId="436B0256" w14:textId="77777777" w:rsidR="00F61862" w:rsidRPr="00F61862" w:rsidRDefault="00F61862" w:rsidP="00F61862">
      <w:pPr>
        <w:pStyle w:val="Copy"/>
      </w:pPr>
      <w:r w:rsidRPr="00F61862">
        <w:lastRenderedPageBreak/>
        <w:t>Care Partners of Connecticut</w:t>
      </w:r>
    </w:p>
    <w:p w14:paraId="7B45708F" w14:textId="77777777" w:rsidR="00F61862" w:rsidRPr="00F61862" w:rsidRDefault="00F61862" w:rsidP="00F61862">
      <w:pPr>
        <w:pStyle w:val="Copy"/>
      </w:pPr>
      <w:r w:rsidRPr="00F61862">
        <w:t>Mind Matters</w:t>
      </w:r>
    </w:p>
    <w:p w14:paraId="31FC1D8E" w14:textId="77777777" w:rsidR="00F61862" w:rsidRPr="00F61862" w:rsidRDefault="00F61862" w:rsidP="00F61862">
      <w:pPr>
        <w:pStyle w:val="Copy"/>
      </w:pPr>
      <w:r w:rsidRPr="00F61862">
        <w:t>Groton Police Department</w:t>
      </w:r>
    </w:p>
    <w:p w14:paraId="300690F3" w14:textId="77777777" w:rsidR="00F61862" w:rsidRPr="00F61862" w:rsidRDefault="00F61862" w:rsidP="00F61862">
      <w:pPr>
        <w:pStyle w:val="Copy"/>
      </w:pPr>
      <w:r w:rsidRPr="00F61862">
        <w:t>Waterford Police Department</w:t>
      </w:r>
    </w:p>
    <w:p w14:paraId="06F3953E" w14:textId="77777777" w:rsidR="00F61862" w:rsidRPr="00F61862" w:rsidRDefault="00F61862" w:rsidP="00F61862">
      <w:pPr>
        <w:pStyle w:val="Copy"/>
      </w:pPr>
      <w:r w:rsidRPr="00F61862">
        <w:t>Additionally, Thrive55+ honors their most important stakeholders: the program participants and their care partners.</w:t>
      </w:r>
    </w:p>
    <w:p w14:paraId="49B132A1" w14:textId="77777777" w:rsidR="00F61862" w:rsidRPr="00F61862" w:rsidRDefault="00F61862" w:rsidP="00F61862">
      <w:pPr>
        <w:pStyle w:val="Heading"/>
        <w:rPr>
          <w:sz w:val="48"/>
          <w:szCs w:val="48"/>
        </w:rPr>
      </w:pPr>
      <w:r w:rsidRPr="00F61862">
        <w:rPr>
          <w:sz w:val="48"/>
          <w:szCs w:val="48"/>
        </w:rPr>
        <w:t>Programs &amp; Initiatives</w:t>
      </w:r>
    </w:p>
    <w:p w14:paraId="2DF032CA" w14:textId="77777777" w:rsidR="00F61862" w:rsidRPr="00F61862" w:rsidRDefault="00F61862" w:rsidP="00F61862">
      <w:pPr>
        <w:pStyle w:val="Copy"/>
      </w:pPr>
      <w:r w:rsidRPr="00F61862">
        <w:t>Inclusion initiatives at Thrive55+ are ongoing and expanding– and are often inspired by current program participants.</w:t>
      </w:r>
    </w:p>
    <w:p w14:paraId="72D9433A" w14:textId="77777777" w:rsidR="00F61862" w:rsidRPr="00F61862" w:rsidRDefault="00F61862" w:rsidP="00F61862">
      <w:pPr>
        <w:pStyle w:val="Copy"/>
      </w:pPr>
      <w:r w:rsidRPr="00F61862">
        <w:rPr>
          <w:b/>
          <w:bCs/>
        </w:rPr>
        <w:t xml:space="preserve">Rebranding initiative, </w:t>
      </w:r>
      <w:r w:rsidRPr="00F61862">
        <w:t>promoting positive perceptions of the center’s activities and mission, with the goal of expanding interest and attracting new participants to engage with Thrive55+.</w:t>
      </w:r>
    </w:p>
    <w:p w14:paraId="13F4EBBA" w14:textId="77777777" w:rsidR="00F61862" w:rsidRPr="00F61862" w:rsidRDefault="00F61862" w:rsidP="00F61862">
      <w:pPr>
        <w:pStyle w:val="Copy"/>
      </w:pPr>
      <w:r w:rsidRPr="00F61862">
        <w:rPr>
          <w:b/>
          <w:bCs/>
        </w:rPr>
        <w:t>Discover Connections,</w:t>
      </w:r>
      <w:r w:rsidRPr="00F61862">
        <w:t xml:space="preserve"> offering twice-monthly social engagement programming for people 55 and older with mild cognitive challenges or at risk for social isolation.</w:t>
      </w:r>
    </w:p>
    <w:p w14:paraId="36040887" w14:textId="77777777" w:rsidR="00F61862" w:rsidRPr="00F61862" w:rsidRDefault="00F61862" w:rsidP="00F61862">
      <w:pPr>
        <w:pStyle w:val="Copy"/>
      </w:pPr>
      <w:r w:rsidRPr="00F61862">
        <w:rPr>
          <w:b/>
          <w:bCs/>
        </w:rPr>
        <w:lastRenderedPageBreak/>
        <w:t>Portraits of Life,</w:t>
      </w:r>
      <w:r w:rsidRPr="00F61862">
        <w:t xml:space="preserve"> an exhibition of portraits and biographies honoring the lives of Thrive55+ members with Alzheimer’s disease and related dementias, focused on portraying an uplifting, inspiring, and comprehensive understanding of each participant’s life.</w:t>
      </w:r>
    </w:p>
    <w:p w14:paraId="53C7E13C" w14:textId="77777777" w:rsidR="00F61862" w:rsidRPr="00F61862" w:rsidRDefault="00F61862" w:rsidP="00F61862">
      <w:pPr>
        <w:pStyle w:val="Copy"/>
      </w:pPr>
      <w:r w:rsidRPr="00F61862">
        <w:rPr>
          <w:b/>
          <w:bCs/>
        </w:rPr>
        <w:t>Project Lifesaver,</w:t>
      </w:r>
      <w:r w:rsidRPr="00F61862">
        <w:t xml:space="preserve"> providing the Groton Police Department with specialized search and rescue training and radio bracelet tracking equipment to speed up location efforts and improve security for people with dementia who are prone to wander.</w:t>
      </w:r>
    </w:p>
    <w:p w14:paraId="06FAA688" w14:textId="59E6CEF1" w:rsidR="00F61862" w:rsidRDefault="00F61862" w:rsidP="00F61862">
      <w:pPr>
        <w:pStyle w:val="Copy"/>
      </w:pPr>
      <w:r w:rsidRPr="00F61862">
        <w:rPr>
          <w:b/>
          <w:bCs/>
        </w:rPr>
        <w:t>Alzheimer’s Support Group,</w:t>
      </w:r>
      <w:r w:rsidRPr="00F61862">
        <w:t xml:space="preserve"> offering support and facilitating connections to regional services for the families of people with Alzheimer’s disease and related dementias.</w:t>
      </w:r>
    </w:p>
    <w:p w14:paraId="069DD57C" w14:textId="77777777" w:rsidR="00F61862" w:rsidRDefault="00F61862">
      <w:pPr>
        <w:rPr>
          <w:rFonts w:ascii="Arial" w:hAnsi="Arial" w:cs="Arial"/>
          <w:sz w:val="36"/>
          <w:szCs w:val="36"/>
        </w:rPr>
      </w:pPr>
      <w:r>
        <w:br w:type="page"/>
      </w:r>
    </w:p>
    <w:p w14:paraId="67C8DAB3" w14:textId="77777777" w:rsidR="00F61862" w:rsidRPr="00F61862" w:rsidRDefault="00F61862" w:rsidP="00F61862">
      <w:pPr>
        <w:pStyle w:val="Heading"/>
      </w:pPr>
      <w:r w:rsidRPr="00F61862">
        <w:lastRenderedPageBreak/>
        <w:t>Dementia-Friendly Southington</w:t>
      </w:r>
    </w:p>
    <w:p w14:paraId="1F7AF5A6" w14:textId="77777777" w:rsidR="00F61862" w:rsidRPr="00F61862" w:rsidRDefault="00F61862" w:rsidP="00F61862">
      <w:pPr>
        <w:pStyle w:val="Copy"/>
      </w:pPr>
      <w:r w:rsidRPr="00F61862">
        <w:rPr>
          <w:b/>
          <w:bCs/>
        </w:rPr>
        <w:t>For their comprehensive effort to support people experiencing cognitive change, especially through training of municipal staff and community partners.</w:t>
      </w:r>
    </w:p>
    <w:p w14:paraId="4B2E9501" w14:textId="77777777" w:rsidR="00F61862" w:rsidRPr="00F61862" w:rsidRDefault="00F61862" w:rsidP="00F61862">
      <w:pPr>
        <w:pStyle w:val="Copy"/>
      </w:pPr>
      <w:r w:rsidRPr="00F61862">
        <w:t xml:space="preserve">When the town of Southington was approached by local non-profit </w:t>
      </w:r>
      <w:proofErr w:type="spellStart"/>
      <w:r w:rsidRPr="00F61862">
        <w:t>LiveWell</w:t>
      </w:r>
      <w:proofErr w:type="spellEnd"/>
      <w:r w:rsidRPr="00F61862">
        <w:t xml:space="preserve"> Dementia Specialists with a proposal to become Connecticut’s first dementia-friendly town, they embraced the opportunity. Creating a more inclusive environment for an estimated 3,600 community members living with dementia was a natural next step for a municipality dedicated to improving the living experience of all residents.</w:t>
      </w:r>
    </w:p>
    <w:p w14:paraId="55172DF0" w14:textId="77777777" w:rsidR="00F61862" w:rsidRPr="00F61862" w:rsidRDefault="00F61862" w:rsidP="00F61862">
      <w:pPr>
        <w:pStyle w:val="Copy"/>
      </w:pPr>
      <w:r w:rsidRPr="00F61862">
        <w:t xml:space="preserve">Spearheaded by </w:t>
      </w:r>
      <w:proofErr w:type="spellStart"/>
      <w:r w:rsidRPr="00F61862">
        <w:t>LiveWell</w:t>
      </w:r>
      <w:proofErr w:type="spellEnd"/>
      <w:r w:rsidRPr="00F61862">
        <w:t xml:space="preserve"> and informed by input from residents diagnosed with dementia, Dementia-Friendly Southington kicked off an ambitious awareness-raising campaign, offering free Dementia Friends sessions for individuals and Dementia-Friendly @ Work trainings for businesses. Sessions educate attendees about dementia and offer suggestions on supporting those who are living with it. Within the first two years, over 700 residents and 50 municipal employees completed a session. </w:t>
      </w:r>
    </w:p>
    <w:p w14:paraId="754A4393" w14:textId="77777777" w:rsidR="00F61862" w:rsidRPr="00F61862" w:rsidRDefault="00F61862" w:rsidP="00F61862">
      <w:pPr>
        <w:pStyle w:val="Copy"/>
      </w:pPr>
      <w:r w:rsidRPr="00F61862">
        <w:lastRenderedPageBreak/>
        <w:t>Impacts have been wide-ranging. Local businesses from banks and restaurants to churches and non-profits have trained staff and adapted facilities to support people with cognitive changes. The Southington Public Library has expanded their offerings for people with dementia—hosting a monthly Memory Café and adding works written for people with dementia to their shelves. And the police and fire departments have added people with dementia to their Special Needs Registry, alerting responders when a person in an emergency has cognitive changes.</w:t>
      </w:r>
    </w:p>
    <w:p w14:paraId="3D0F541D" w14:textId="77777777" w:rsidR="00F61862" w:rsidRPr="00F61862" w:rsidRDefault="00F61862" w:rsidP="00F61862">
      <w:pPr>
        <w:pStyle w:val="Copy"/>
      </w:pPr>
      <w:r w:rsidRPr="00F61862">
        <w:t>Dementia-Friendly Southington is made possible by generous support from The Bradley Henry Barnes and Leila Upson Barnes Memorial Trust at the Main Street Community Foundation.</w:t>
      </w:r>
    </w:p>
    <w:p w14:paraId="6DE43AC0" w14:textId="77777777" w:rsidR="00F61862" w:rsidRPr="00F61862" w:rsidRDefault="00F61862" w:rsidP="00F61862">
      <w:pPr>
        <w:pStyle w:val="Heading"/>
        <w:rPr>
          <w:sz w:val="48"/>
          <w:szCs w:val="48"/>
        </w:rPr>
      </w:pPr>
      <w:r w:rsidRPr="00F61862">
        <w:rPr>
          <w:sz w:val="48"/>
          <w:szCs w:val="48"/>
        </w:rPr>
        <w:t>Partners &amp; Stakeholders</w:t>
      </w:r>
    </w:p>
    <w:p w14:paraId="67AEBA21" w14:textId="77777777" w:rsidR="00F61862" w:rsidRPr="00F61862" w:rsidRDefault="00F61862" w:rsidP="00F61862">
      <w:pPr>
        <w:pStyle w:val="Copy"/>
      </w:pPr>
      <w:proofErr w:type="spellStart"/>
      <w:r w:rsidRPr="00F61862">
        <w:t>LiveWell</w:t>
      </w:r>
      <w:proofErr w:type="spellEnd"/>
      <w:r w:rsidRPr="00F61862">
        <w:t xml:space="preserve"> Dementia Specialists and project lead, Katy O’Leary</w:t>
      </w:r>
    </w:p>
    <w:p w14:paraId="352770DC" w14:textId="77777777" w:rsidR="00F61862" w:rsidRPr="00F61862" w:rsidRDefault="00F61862" w:rsidP="00F61862">
      <w:pPr>
        <w:pStyle w:val="Copy"/>
      </w:pPr>
      <w:r w:rsidRPr="00F61862">
        <w:t>Town of Southington</w:t>
      </w:r>
    </w:p>
    <w:p w14:paraId="45217ED7" w14:textId="77777777" w:rsidR="00F61862" w:rsidRPr="00F61862" w:rsidRDefault="00F61862" w:rsidP="00F61862">
      <w:pPr>
        <w:pStyle w:val="Copy"/>
      </w:pPr>
      <w:r w:rsidRPr="00F61862">
        <w:t>Southington Fire Department</w:t>
      </w:r>
    </w:p>
    <w:p w14:paraId="310BCC8E" w14:textId="77777777" w:rsidR="00F61862" w:rsidRPr="00F61862" w:rsidRDefault="00F61862" w:rsidP="00F61862">
      <w:pPr>
        <w:pStyle w:val="Copy"/>
      </w:pPr>
      <w:r w:rsidRPr="00F61862">
        <w:t>Southington Police Department</w:t>
      </w:r>
    </w:p>
    <w:p w14:paraId="2CB3443F" w14:textId="77777777" w:rsidR="00F61862" w:rsidRPr="00F61862" w:rsidRDefault="00F61862" w:rsidP="00F61862">
      <w:pPr>
        <w:pStyle w:val="Copy"/>
      </w:pPr>
      <w:r w:rsidRPr="00F61862">
        <w:lastRenderedPageBreak/>
        <w:t>Southington Public Library</w:t>
      </w:r>
    </w:p>
    <w:p w14:paraId="744DE47F" w14:textId="77777777" w:rsidR="00F61862" w:rsidRPr="00F61862" w:rsidRDefault="00F61862" w:rsidP="00F61862">
      <w:pPr>
        <w:pStyle w:val="Copy"/>
      </w:pPr>
      <w:r w:rsidRPr="00F61862">
        <w:t>First Congregational Church of Southington</w:t>
      </w:r>
    </w:p>
    <w:p w14:paraId="6B43E481" w14:textId="77777777" w:rsidR="00F61862" w:rsidRPr="00F61862" w:rsidRDefault="00F61862" w:rsidP="00F61862">
      <w:pPr>
        <w:pStyle w:val="Copy"/>
      </w:pPr>
      <w:r w:rsidRPr="00F61862">
        <w:t>Bob Savage and the Dementia Peer Coalition</w:t>
      </w:r>
    </w:p>
    <w:p w14:paraId="26A2192F" w14:textId="77777777" w:rsidR="00F61862" w:rsidRPr="00F61862" w:rsidRDefault="00F61862" w:rsidP="00F61862">
      <w:pPr>
        <w:pStyle w:val="Copy"/>
      </w:pPr>
      <w:r w:rsidRPr="00F61862">
        <w:t>Dementia-Friendly Southington would like to acknowledge the many local businesses who have supported the initiative, including Bread for Life, Chips Restaurant, Southington YMCA, and Wells Fargo Bank.</w:t>
      </w:r>
    </w:p>
    <w:p w14:paraId="09DA8746" w14:textId="77777777" w:rsidR="00F61862" w:rsidRPr="00F61862" w:rsidRDefault="00F61862" w:rsidP="00F61862">
      <w:pPr>
        <w:pStyle w:val="Heading"/>
        <w:rPr>
          <w:sz w:val="48"/>
          <w:szCs w:val="48"/>
        </w:rPr>
      </w:pPr>
      <w:r w:rsidRPr="00F61862">
        <w:rPr>
          <w:sz w:val="48"/>
          <w:szCs w:val="48"/>
        </w:rPr>
        <w:t>Programs &amp; Initiatives</w:t>
      </w:r>
    </w:p>
    <w:p w14:paraId="1F844FD7" w14:textId="77777777" w:rsidR="00F61862" w:rsidRPr="00F61862" w:rsidRDefault="00F61862" w:rsidP="00F61862">
      <w:pPr>
        <w:pStyle w:val="Copy"/>
      </w:pPr>
      <w:r w:rsidRPr="00F61862">
        <w:t>Dementia-Friendly Southington has motivated a broad range of initiatives, from awareness trainings for the community to tailored supports for people living with dementia.</w:t>
      </w:r>
    </w:p>
    <w:p w14:paraId="31F7A28E" w14:textId="77777777" w:rsidR="00F61862" w:rsidRPr="00F61862" w:rsidRDefault="00F61862" w:rsidP="00F61862">
      <w:pPr>
        <w:pStyle w:val="Copy"/>
      </w:pPr>
      <w:r w:rsidRPr="00F61862">
        <w:rPr>
          <w:b/>
          <w:bCs/>
        </w:rPr>
        <w:t>Dementia Friends Sessions,</w:t>
      </w:r>
      <w:r w:rsidRPr="00F61862">
        <w:t xml:space="preserve"> free, one-hour sessions for residents, providing education about dementia and suggesting small ways to be helpful and supportive to those living with it.</w:t>
      </w:r>
    </w:p>
    <w:p w14:paraId="0423E4F3" w14:textId="77777777" w:rsidR="00F61862" w:rsidRPr="00F61862" w:rsidRDefault="00F61862" w:rsidP="00F61862">
      <w:pPr>
        <w:pStyle w:val="Copy"/>
      </w:pPr>
      <w:r w:rsidRPr="00F61862">
        <w:rPr>
          <w:b/>
          <w:bCs/>
        </w:rPr>
        <w:t>Dementia-Friendly @ Work Training,</w:t>
      </w:r>
      <w:r w:rsidRPr="00F61862">
        <w:t xml:space="preserve"> free, 90-minute sessions for businesses, teaching them to recognize the signs of dementia and offering tips on how to create a dementia-</w:t>
      </w:r>
      <w:r w:rsidRPr="00F61862">
        <w:lastRenderedPageBreak/>
        <w:t>friendly environment and interact with customers with dementia.</w:t>
      </w:r>
    </w:p>
    <w:p w14:paraId="7012FD11" w14:textId="77777777" w:rsidR="00F61862" w:rsidRPr="00F61862" w:rsidRDefault="00F61862" w:rsidP="00F61862">
      <w:pPr>
        <w:pStyle w:val="Copy"/>
      </w:pPr>
      <w:r w:rsidRPr="00F61862">
        <w:rPr>
          <w:b/>
          <w:bCs/>
        </w:rPr>
        <w:t xml:space="preserve">Special Needs Registry, </w:t>
      </w:r>
      <w:r w:rsidRPr="00F61862">
        <w:t>enabling town fire and police departments to respond with appropriate support to emergencies involving residents with dementia.</w:t>
      </w:r>
    </w:p>
    <w:p w14:paraId="00B74FFA" w14:textId="77777777" w:rsidR="00F61862" w:rsidRPr="00F61862" w:rsidRDefault="00F61862" w:rsidP="00F61862">
      <w:pPr>
        <w:pStyle w:val="Copy"/>
      </w:pPr>
      <w:r w:rsidRPr="00F61862">
        <w:rPr>
          <w:b/>
          <w:bCs/>
        </w:rPr>
        <w:t xml:space="preserve">Memory Café, </w:t>
      </w:r>
      <w:r w:rsidRPr="00F61862">
        <w:t xml:space="preserve">offering monthly social </w:t>
      </w:r>
      <w:proofErr w:type="gramStart"/>
      <w:r w:rsidRPr="00F61862">
        <w:t>meet-ups</w:t>
      </w:r>
      <w:proofErr w:type="gramEnd"/>
      <w:r w:rsidRPr="00F61862">
        <w:t xml:space="preserve"> to combat isolation for people experiencing cognitive changes from Alzheimer’s or other dementias and their family members.</w:t>
      </w:r>
    </w:p>
    <w:p w14:paraId="1383EADC" w14:textId="77777777" w:rsidR="00F61862" w:rsidRPr="00F61862" w:rsidRDefault="00F61862" w:rsidP="00F61862">
      <w:pPr>
        <w:pStyle w:val="Copy"/>
      </w:pPr>
      <w:r w:rsidRPr="00F61862">
        <w:rPr>
          <w:b/>
          <w:bCs/>
        </w:rPr>
        <w:t xml:space="preserve">Cognitive Change Collection, </w:t>
      </w:r>
      <w:r w:rsidRPr="00F61862">
        <w:t>a curated collection of resource materials at the Southington Public Library for patrons with dementia, including Take Me Back reminiscence kits, multimedia materials and fiction written specifically for people with dementia.</w:t>
      </w:r>
    </w:p>
    <w:p w14:paraId="46D5C6E0" w14:textId="77777777" w:rsidR="00F61862" w:rsidRPr="00F61862" w:rsidRDefault="00F61862" w:rsidP="00F61862">
      <w:pPr>
        <w:pStyle w:val="Copy"/>
      </w:pPr>
      <w:r w:rsidRPr="00F61862">
        <w:rPr>
          <w:b/>
          <w:bCs/>
        </w:rPr>
        <w:t xml:space="preserve">Dementia Peer Coalition, </w:t>
      </w:r>
      <w:r w:rsidRPr="00F61862">
        <w:t>providing peer-to-peer support, operated by and for people living with dementia.</w:t>
      </w:r>
    </w:p>
    <w:p w14:paraId="77963E74" w14:textId="5E736639" w:rsidR="00F61862" w:rsidRDefault="00F61862" w:rsidP="00F61862">
      <w:pPr>
        <w:pStyle w:val="Copy"/>
      </w:pPr>
      <w:r w:rsidRPr="00F61862">
        <w:rPr>
          <w:b/>
          <w:bCs/>
        </w:rPr>
        <w:t>To Whom I May Concern,</w:t>
      </w:r>
      <w:r w:rsidRPr="00F61862">
        <w:t xml:space="preserve"> an interactive theater program in which people diagnosed with dementia share their experiences in their own words.</w:t>
      </w:r>
    </w:p>
    <w:p w14:paraId="0C25777F" w14:textId="77777777" w:rsidR="00F61862" w:rsidRDefault="00F61862">
      <w:pPr>
        <w:rPr>
          <w:rFonts w:ascii="Arial" w:hAnsi="Arial" w:cs="Arial"/>
          <w:sz w:val="36"/>
          <w:szCs w:val="36"/>
        </w:rPr>
      </w:pPr>
      <w:r>
        <w:br w:type="page"/>
      </w:r>
    </w:p>
    <w:p w14:paraId="5B32717A" w14:textId="77777777" w:rsidR="00EB49AB" w:rsidRPr="00EB49AB" w:rsidRDefault="00EB49AB" w:rsidP="00EB49AB">
      <w:pPr>
        <w:pStyle w:val="Heading"/>
      </w:pPr>
      <w:r w:rsidRPr="00EB49AB">
        <w:lastRenderedPageBreak/>
        <w:t>Central Connecticut State University</w:t>
      </w:r>
    </w:p>
    <w:p w14:paraId="39384989" w14:textId="77777777" w:rsidR="00EB49AB" w:rsidRPr="00EB49AB" w:rsidRDefault="00EB49AB" w:rsidP="00EB49AB">
      <w:pPr>
        <w:pStyle w:val="Copy"/>
      </w:pPr>
      <w:r w:rsidRPr="00EB49AB">
        <w:rPr>
          <w:b/>
          <w:bCs/>
        </w:rPr>
        <w:t xml:space="preserve">The first Connecticut university to join the Age-Friendly University Global Network, promoting lifelong learning and intergenerational connection and </w:t>
      </w:r>
      <w:r w:rsidRPr="00EB49AB">
        <w:rPr>
          <w:b/>
          <w:bCs/>
        </w:rPr>
        <w:br/>
        <w:t>disrupting ageism.</w:t>
      </w:r>
    </w:p>
    <w:p w14:paraId="3F69DC0B" w14:textId="77777777" w:rsidR="00EB49AB" w:rsidRPr="00EB49AB" w:rsidRDefault="00EB49AB" w:rsidP="00EB49AB">
      <w:pPr>
        <w:pStyle w:val="Copy"/>
      </w:pPr>
      <w:r w:rsidRPr="00EB49AB">
        <w:t>Connecticut is home to the seventh oldest population in the United States; by 2030, 25 percent of our state’s population will be over 60. Identifying a growing need to serve the educational interests of this group, Central Connecticut State University (CCSU) became the first university in the state to join the Age-Friendly University (AFU) Global Network, a group of more than 150 higher education institutions committed to developing programs to serve the needs of an aging population.</w:t>
      </w:r>
    </w:p>
    <w:p w14:paraId="2CD776C7" w14:textId="77777777" w:rsidR="00EB49AB" w:rsidRPr="00EB49AB" w:rsidRDefault="00EB49AB" w:rsidP="00EB49AB">
      <w:pPr>
        <w:pStyle w:val="Copy"/>
      </w:pPr>
      <w:r w:rsidRPr="00EB49AB">
        <w:t xml:space="preserve">CCSU’s commitment to age-inclusivity is campus-wide and goes beyond offering gerontology programs. Administrators have streamlined access to tuition waivers for students 62 and older—and as enrollment of older students has expanded, a club called the </w:t>
      </w:r>
      <w:proofErr w:type="spellStart"/>
      <w:r w:rsidRPr="00EB49AB">
        <w:t>Matricu</w:t>
      </w:r>
      <w:proofErr w:type="spellEnd"/>
      <w:proofErr w:type="gramStart"/>
      <w:r w:rsidRPr="00EB49AB">
        <w:t>-“</w:t>
      </w:r>
      <w:proofErr w:type="spellStart"/>
      <w:proofErr w:type="gramEnd"/>
      <w:r w:rsidRPr="00EB49AB">
        <w:t>laters</w:t>
      </w:r>
      <w:proofErr w:type="spellEnd"/>
      <w:r w:rsidRPr="00EB49AB">
        <w:t xml:space="preserve">” has formed to share resources and support. Along with welcoming older adults into the </w:t>
      </w:r>
      <w:r w:rsidRPr="00EB49AB">
        <w:lastRenderedPageBreak/>
        <w:t>classroom, CCSU continues to increase its community engagement. The Scholars for Life Speaker Series offers in-person and virtual faculty lectures to the community, while the WISE program brings together older and younger adults to discuss topics of mutual interest. Course abroad programs to Hong Kong and to Scotland create intergenerational learning opportunities focused on global aging experiences.</w:t>
      </w:r>
    </w:p>
    <w:p w14:paraId="60F4700E" w14:textId="77777777" w:rsidR="00EB49AB" w:rsidRPr="00EB49AB" w:rsidRDefault="00EB49AB" w:rsidP="00EB49AB">
      <w:pPr>
        <w:pStyle w:val="Copy"/>
      </w:pPr>
      <w:r w:rsidRPr="00EB49AB">
        <w:t>Culture change takes time, but CCSU is proud of what it has already achieved. The Office for Equity &amp; Inclusion now recognizes age as a diversity variable, allowing resources to be devoted to eliminating ageism on campus. One such resource, Ageism First Aid, addresses the negative impact of ageism and the importance of social inclusion, instilling a new generation of graduates with a willingness to reframe aging.</w:t>
      </w:r>
    </w:p>
    <w:p w14:paraId="1C7BB908" w14:textId="77777777" w:rsidR="00EB49AB" w:rsidRPr="00EB49AB" w:rsidRDefault="00EB49AB" w:rsidP="00EB49AB">
      <w:pPr>
        <w:pStyle w:val="Heading"/>
        <w:rPr>
          <w:sz w:val="48"/>
          <w:szCs w:val="48"/>
        </w:rPr>
      </w:pPr>
      <w:r w:rsidRPr="00EB49AB">
        <w:rPr>
          <w:sz w:val="48"/>
          <w:szCs w:val="48"/>
        </w:rPr>
        <w:t>Partners &amp; Stakeholders</w:t>
      </w:r>
    </w:p>
    <w:p w14:paraId="5176299E" w14:textId="77777777" w:rsidR="00EB49AB" w:rsidRPr="00EB49AB" w:rsidRDefault="00EB49AB" w:rsidP="00EB49AB">
      <w:pPr>
        <w:pStyle w:val="Copy"/>
      </w:pPr>
      <w:r w:rsidRPr="00EB49AB">
        <w:t>Central Connecticut State University</w:t>
      </w:r>
    </w:p>
    <w:p w14:paraId="3D2777B4" w14:textId="0EB5D7D4" w:rsidR="00EB49AB" w:rsidRPr="00EB49AB" w:rsidRDefault="00EB49AB" w:rsidP="00EB49AB">
      <w:pPr>
        <w:pStyle w:val="Copy"/>
      </w:pPr>
      <w:r w:rsidRPr="00EB49AB">
        <w:t xml:space="preserve">Interdisciplinary Gerontology Committee </w:t>
      </w:r>
    </w:p>
    <w:p w14:paraId="2E27FE0C" w14:textId="77777777" w:rsidR="00EB49AB" w:rsidRPr="00EB49AB" w:rsidRDefault="00EB49AB" w:rsidP="00EB49AB">
      <w:pPr>
        <w:pStyle w:val="Copy"/>
      </w:pPr>
      <w:r w:rsidRPr="00EB49AB">
        <w:t xml:space="preserve">Office for Equity &amp; Inclusion </w:t>
      </w:r>
    </w:p>
    <w:p w14:paraId="4F49DB0A" w14:textId="77777777" w:rsidR="00EB49AB" w:rsidRPr="00EB49AB" w:rsidRDefault="00EB49AB" w:rsidP="00EB49AB">
      <w:pPr>
        <w:pStyle w:val="Copy"/>
      </w:pPr>
      <w:r w:rsidRPr="00EB49AB">
        <w:t xml:space="preserve">Office of Continuing Education </w:t>
      </w:r>
    </w:p>
    <w:p w14:paraId="5F64EFD0" w14:textId="77777777" w:rsidR="00EB49AB" w:rsidRPr="00EB49AB" w:rsidRDefault="00EB49AB" w:rsidP="00EB49AB">
      <w:pPr>
        <w:pStyle w:val="Copy"/>
      </w:pPr>
      <w:r w:rsidRPr="00EB49AB">
        <w:lastRenderedPageBreak/>
        <w:t xml:space="preserve">Office of the President </w:t>
      </w:r>
    </w:p>
    <w:p w14:paraId="3E50EEF5" w14:textId="77777777" w:rsidR="00EB49AB" w:rsidRPr="00EB49AB" w:rsidRDefault="00EB49AB" w:rsidP="00EB49AB">
      <w:pPr>
        <w:pStyle w:val="Copy"/>
      </w:pPr>
      <w:r w:rsidRPr="00EB49AB">
        <w:t xml:space="preserve">Registrar’s and Bursar’s Office </w:t>
      </w:r>
    </w:p>
    <w:p w14:paraId="41EBF22A" w14:textId="77777777" w:rsidR="00EB49AB" w:rsidRPr="00EB49AB" w:rsidRDefault="00EB49AB" w:rsidP="00EB49AB">
      <w:pPr>
        <w:pStyle w:val="Copy"/>
      </w:pPr>
      <w:r w:rsidRPr="00EB49AB">
        <w:t xml:space="preserve">Center for Community Engagement &amp; Social Research </w:t>
      </w:r>
    </w:p>
    <w:p w14:paraId="13B601D6" w14:textId="77777777" w:rsidR="00EB49AB" w:rsidRPr="00EB49AB" w:rsidRDefault="00EB49AB" w:rsidP="00EB49AB">
      <w:pPr>
        <w:pStyle w:val="Copy"/>
      </w:pPr>
      <w:r w:rsidRPr="00EB49AB">
        <w:t>Center for International Education</w:t>
      </w:r>
    </w:p>
    <w:p w14:paraId="48713AA5" w14:textId="77777777" w:rsidR="00EB49AB" w:rsidRPr="00EB49AB" w:rsidRDefault="00EB49AB" w:rsidP="00EB49AB">
      <w:pPr>
        <w:pStyle w:val="Copy"/>
      </w:pPr>
      <w:r w:rsidRPr="00EB49AB">
        <w:t>The Whitney Center</w:t>
      </w:r>
    </w:p>
    <w:p w14:paraId="3AE3A5DB" w14:textId="77777777" w:rsidR="00EB49AB" w:rsidRPr="00EB49AB" w:rsidRDefault="00EB49AB" w:rsidP="00EB49AB">
      <w:pPr>
        <w:pStyle w:val="Copy"/>
      </w:pPr>
      <w:r w:rsidRPr="00EB49AB">
        <w:t xml:space="preserve">WISE Program Partners and Participants </w:t>
      </w:r>
    </w:p>
    <w:p w14:paraId="4A5E9B33" w14:textId="77777777" w:rsidR="00EB49AB" w:rsidRPr="00EB49AB" w:rsidRDefault="00EB49AB" w:rsidP="00EB49AB">
      <w:pPr>
        <w:pStyle w:val="Copy"/>
      </w:pPr>
      <w:r w:rsidRPr="00EB49AB">
        <w:t xml:space="preserve">New Britain Senior Center </w:t>
      </w:r>
    </w:p>
    <w:p w14:paraId="2A74C8CC" w14:textId="77777777" w:rsidR="00EB49AB" w:rsidRPr="00EB49AB" w:rsidRDefault="00EB49AB" w:rsidP="00EB49AB">
      <w:pPr>
        <w:pStyle w:val="Copy"/>
      </w:pPr>
      <w:r w:rsidRPr="00EB49AB">
        <w:t>Newington Senior and Disabled Center</w:t>
      </w:r>
    </w:p>
    <w:p w14:paraId="5D4808B5" w14:textId="77777777" w:rsidR="00EB49AB" w:rsidRPr="00EB49AB" w:rsidRDefault="00EB49AB" w:rsidP="00EB49AB">
      <w:pPr>
        <w:pStyle w:val="Copy"/>
      </w:pPr>
      <w:r w:rsidRPr="00EB49AB">
        <w:t xml:space="preserve">AARP </w:t>
      </w:r>
    </w:p>
    <w:p w14:paraId="2F82F659" w14:textId="77777777" w:rsidR="00EB49AB" w:rsidRPr="00EB49AB" w:rsidRDefault="00EB49AB" w:rsidP="00EB49AB">
      <w:pPr>
        <w:pStyle w:val="Copy"/>
      </w:pPr>
      <w:r w:rsidRPr="00EB49AB">
        <w:t>Connecticut Healthy Living Collective</w:t>
      </w:r>
    </w:p>
    <w:p w14:paraId="4E319211" w14:textId="77777777" w:rsidR="00EB49AB" w:rsidRPr="00EB49AB" w:rsidRDefault="00EB49AB" w:rsidP="00EB49AB">
      <w:pPr>
        <w:pStyle w:val="Copy"/>
      </w:pPr>
      <w:r w:rsidRPr="00EB49AB">
        <w:t>CCSU also thanks those who have worked with our interns and clinical students over the years.</w:t>
      </w:r>
    </w:p>
    <w:p w14:paraId="4C135DDD" w14:textId="77777777" w:rsidR="00EB49AB" w:rsidRDefault="00EB49AB">
      <w:pPr>
        <w:rPr>
          <w:rFonts w:ascii="Arial" w:hAnsi="Arial" w:cs="Arial"/>
          <w:b/>
          <w:bCs/>
          <w:sz w:val="48"/>
          <w:szCs w:val="48"/>
        </w:rPr>
      </w:pPr>
      <w:r>
        <w:rPr>
          <w:sz w:val="48"/>
          <w:szCs w:val="48"/>
        </w:rPr>
        <w:br w:type="page"/>
      </w:r>
    </w:p>
    <w:p w14:paraId="5EBD78EE" w14:textId="7125A40C" w:rsidR="00EB49AB" w:rsidRPr="00EB49AB" w:rsidRDefault="00EB49AB" w:rsidP="00EB49AB">
      <w:pPr>
        <w:pStyle w:val="Heading"/>
        <w:rPr>
          <w:sz w:val="48"/>
          <w:szCs w:val="48"/>
        </w:rPr>
      </w:pPr>
      <w:r w:rsidRPr="00EB49AB">
        <w:rPr>
          <w:sz w:val="48"/>
          <w:szCs w:val="48"/>
        </w:rPr>
        <w:lastRenderedPageBreak/>
        <w:t>Programs &amp; Initiatives</w:t>
      </w:r>
    </w:p>
    <w:p w14:paraId="25D52BBD" w14:textId="77777777" w:rsidR="00EB49AB" w:rsidRPr="00EB49AB" w:rsidRDefault="00EB49AB" w:rsidP="00EB49AB">
      <w:pPr>
        <w:pStyle w:val="Copy"/>
      </w:pPr>
      <w:r w:rsidRPr="00EB49AB">
        <w:t>Age-friendly initiatives at CCSU support learning and intergenerational connection across the lifespan.</w:t>
      </w:r>
    </w:p>
    <w:p w14:paraId="7DFBAD00" w14:textId="77777777" w:rsidR="00EB49AB" w:rsidRPr="00EB49AB" w:rsidRDefault="00EB49AB" w:rsidP="00EB49AB">
      <w:pPr>
        <w:pStyle w:val="Copy"/>
      </w:pPr>
      <w:r w:rsidRPr="00EB49AB">
        <w:rPr>
          <w:b/>
          <w:bCs/>
        </w:rPr>
        <w:t>Inclusive enrollment policies,</w:t>
      </w:r>
      <w:r w:rsidRPr="00EB49AB">
        <w:t xml:space="preserve"> welcoming students </w:t>
      </w:r>
      <w:proofErr w:type="gramStart"/>
      <w:r w:rsidRPr="00EB49AB">
        <w:t>age</w:t>
      </w:r>
      <w:proofErr w:type="gramEnd"/>
      <w:r w:rsidRPr="00EB49AB">
        <w:t xml:space="preserve"> 62 and older to enroll full-time or part-time at CCSU tuition-free, via a state-funded waiver.</w:t>
      </w:r>
    </w:p>
    <w:p w14:paraId="3B28D3CF" w14:textId="77777777" w:rsidR="00EB49AB" w:rsidRPr="00EB49AB" w:rsidRDefault="00EB49AB" w:rsidP="00EB49AB">
      <w:pPr>
        <w:pStyle w:val="Copy"/>
      </w:pPr>
      <w:r w:rsidRPr="00EB49AB">
        <w:rPr>
          <w:b/>
          <w:bCs/>
        </w:rPr>
        <w:t>Scholars for Life,</w:t>
      </w:r>
      <w:r w:rsidRPr="00EB49AB">
        <w:t xml:space="preserve"> a speaker series organized by the Office of Continuing Education, offering free virtual and in-person lectures on a diverse range of topics by CCSU faculty and friends.</w:t>
      </w:r>
    </w:p>
    <w:p w14:paraId="28527AF3" w14:textId="77777777" w:rsidR="00EB49AB" w:rsidRPr="00EB49AB" w:rsidRDefault="00EB49AB" w:rsidP="00EB49AB">
      <w:pPr>
        <w:pStyle w:val="Copy"/>
      </w:pPr>
      <w:r w:rsidRPr="00EB49AB">
        <w:rPr>
          <w:b/>
          <w:bCs/>
        </w:rPr>
        <w:t>The WISE Program,</w:t>
      </w:r>
      <w:r w:rsidRPr="00EB49AB">
        <w:t xml:space="preserve"> a service-learning experience that connects undergraduates with older adults at senior centers and assisted living centers in the community, promoting intergenerational understanding, dispelling age stereotypes, and fostering well-being.</w:t>
      </w:r>
    </w:p>
    <w:p w14:paraId="7F439271" w14:textId="77777777" w:rsidR="00EB49AB" w:rsidRPr="00EB49AB" w:rsidRDefault="00EB49AB" w:rsidP="00EB49AB">
      <w:pPr>
        <w:pStyle w:val="Copy"/>
      </w:pPr>
      <w:r w:rsidRPr="00EB49AB">
        <w:rPr>
          <w:b/>
          <w:bCs/>
        </w:rPr>
        <w:t xml:space="preserve">The </w:t>
      </w:r>
      <w:proofErr w:type="spellStart"/>
      <w:r w:rsidRPr="00EB49AB">
        <w:rPr>
          <w:b/>
          <w:bCs/>
        </w:rPr>
        <w:t>Matricu</w:t>
      </w:r>
      <w:proofErr w:type="spellEnd"/>
      <w:proofErr w:type="gramStart"/>
      <w:r w:rsidRPr="00EB49AB">
        <w:rPr>
          <w:b/>
          <w:bCs/>
        </w:rPr>
        <w:t>-”</w:t>
      </w:r>
      <w:proofErr w:type="spellStart"/>
      <w:r w:rsidRPr="00EB49AB">
        <w:rPr>
          <w:b/>
          <w:bCs/>
        </w:rPr>
        <w:t>laters</w:t>
      </w:r>
      <w:proofErr w:type="spellEnd"/>
      <w:proofErr w:type="gramEnd"/>
      <w:r w:rsidRPr="00EB49AB">
        <w:rPr>
          <w:b/>
          <w:bCs/>
        </w:rPr>
        <w:t>”,</w:t>
      </w:r>
      <w:r w:rsidRPr="00EB49AB">
        <w:t xml:space="preserve"> a grassroots effort led by students for students, providing information, support, and community for interested older students attending CCSU.</w:t>
      </w:r>
    </w:p>
    <w:p w14:paraId="3A22A727" w14:textId="5E55F4E8" w:rsidR="00F61862" w:rsidRPr="009B031D" w:rsidRDefault="00EB49AB" w:rsidP="00EB49AB">
      <w:pPr>
        <w:pStyle w:val="Copy"/>
      </w:pPr>
      <w:r w:rsidRPr="00EB49AB">
        <w:rPr>
          <w:b/>
          <w:bCs/>
        </w:rPr>
        <w:lastRenderedPageBreak/>
        <w:t>Gerontology Programs,</w:t>
      </w:r>
      <w:r w:rsidRPr="00EB49AB">
        <w:t xml:space="preserve"> including a minor and an undergraduate certificate, establishing a solid background in aging-related issues and preparing students to serve the aging population in various fields.</w:t>
      </w:r>
    </w:p>
    <w:p w14:paraId="0A081010" w14:textId="77777777" w:rsidR="00F61862" w:rsidRDefault="00F61862">
      <w:pPr>
        <w:rPr>
          <w:rFonts w:ascii="Arial" w:hAnsi="Arial" w:cs="Arial"/>
          <w:b/>
          <w:bCs/>
          <w:sz w:val="60"/>
          <w:szCs w:val="60"/>
        </w:rPr>
      </w:pPr>
      <w:r>
        <w:br w:type="page"/>
      </w:r>
    </w:p>
    <w:p w14:paraId="023AE779" w14:textId="0B299ED0" w:rsidR="00F717D9" w:rsidRPr="00F717D9" w:rsidRDefault="00F717D9" w:rsidP="00F717D9">
      <w:pPr>
        <w:pStyle w:val="Heading"/>
      </w:pPr>
      <w:r w:rsidRPr="00F717D9">
        <w:lastRenderedPageBreak/>
        <w:t>Report Credits</w:t>
      </w:r>
    </w:p>
    <w:p w14:paraId="5A20D3BE" w14:textId="52F111CF" w:rsidR="00EB49AB" w:rsidRPr="00EB49AB" w:rsidRDefault="00EB49AB" w:rsidP="00EB49AB">
      <w:pPr>
        <w:pStyle w:val="Copy"/>
      </w:pPr>
      <w:r w:rsidRPr="00EB49AB">
        <w:rPr>
          <w:b/>
          <w:bCs/>
        </w:rPr>
        <w:t>Alyssa Norwood</w:t>
      </w:r>
      <w:r w:rsidRPr="00EB49AB">
        <w:rPr>
          <w:b/>
          <w:bCs/>
        </w:rPr>
        <w:br/>
      </w:r>
      <w:r w:rsidRPr="00EB49AB">
        <w:t>Director, Connecticut Age Well Collaborative</w:t>
      </w:r>
      <w:r>
        <w:br/>
      </w:r>
      <w:r w:rsidRPr="00EB49AB">
        <w:t>Resource Guide Co-Author and Editor</w:t>
      </w:r>
    </w:p>
    <w:p w14:paraId="38680BB2" w14:textId="47CB8C32" w:rsidR="00EB49AB" w:rsidRPr="00EB49AB" w:rsidRDefault="00EB49AB" w:rsidP="00EB49AB">
      <w:pPr>
        <w:pStyle w:val="Copy"/>
      </w:pPr>
      <w:r w:rsidRPr="00EB49AB">
        <w:rPr>
          <w:b/>
          <w:bCs/>
        </w:rPr>
        <w:t>Karen Green</w:t>
      </w:r>
      <w:r w:rsidRPr="00EB49AB">
        <w:rPr>
          <w:b/>
          <w:bCs/>
        </w:rPr>
        <w:br/>
      </w:r>
      <w:r w:rsidRPr="00EB49AB">
        <w:t>Operations and Network Coordinator</w:t>
      </w:r>
      <w:r>
        <w:br/>
      </w:r>
      <w:r w:rsidRPr="00EB49AB">
        <w:t>Resource Guide Editor</w:t>
      </w:r>
    </w:p>
    <w:p w14:paraId="469D3BEF" w14:textId="127C7BB5" w:rsidR="00E65596" w:rsidRPr="00E65596" w:rsidRDefault="00EB49AB" w:rsidP="00EB49AB">
      <w:pPr>
        <w:pStyle w:val="Copy"/>
      </w:pPr>
      <w:r w:rsidRPr="00EB49AB">
        <w:rPr>
          <w:b/>
          <w:bCs/>
        </w:rPr>
        <w:t>Lesley Holford</w:t>
      </w:r>
      <w:r w:rsidRPr="00EB49AB">
        <w:rPr>
          <w:b/>
          <w:bCs/>
        </w:rPr>
        <w:br/>
      </w:r>
      <w:r w:rsidRPr="00EB49AB">
        <w:t>Communications Consultant</w:t>
      </w:r>
      <w:r>
        <w:br/>
      </w:r>
      <w:r w:rsidRPr="00EB49AB">
        <w:t>Report Co-Author and Graphic Designer</w:t>
      </w:r>
    </w:p>
    <w:p w14:paraId="32FD37A0" w14:textId="77777777" w:rsidR="00E65596" w:rsidRDefault="00E65596">
      <w:pPr>
        <w:rPr>
          <w:sz w:val="48"/>
          <w:szCs w:val="48"/>
        </w:rPr>
      </w:pPr>
      <w:r>
        <w:rPr>
          <w:sz w:val="48"/>
          <w:szCs w:val="48"/>
        </w:rPr>
        <w:br w:type="page"/>
      </w:r>
    </w:p>
    <w:p w14:paraId="1A1FE46B" w14:textId="15760793" w:rsidR="00E65596" w:rsidRPr="00EB49AB" w:rsidRDefault="00E65596" w:rsidP="00EB49AB">
      <w:pPr>
        <w:pStyle w:val="Heading"/>
      </w:pPr>
      <w:r w:rsidRPr="00EB49AB">
        <w:lastRenderedPageBreak/>
        <w:t>Collective Impact Partners</w:t>
      </w:r>
    </w:p>
    <w:p w14:paraId="3F5FB800" w14:textId="77777777" w:rsidR="00E65596" w:rsidRPr="00E65596" w:rsidRDefault="00E65596" w:rsidP="00E65596">
      <w:pPr>
        <w:pStyle w:val="Copy"/>
      </w:pPr>
      <w:r w:rsidRPr="00E65596">
        <w:t xml:space="preserve">Collective impact brings people together in a structured way to achieve social change. The Connecticut Age Well Collaborative plans and implements its work through a collective impact model. The evolving list below reflects strategically cultivated relationships with governmental, nonprofit and academic organizations who were invited as partners. “Partners” are organizations committed to collaborating to align efforts and shared resources toward fostering Connecticut communities where we all thrive as we grow up and grow older. </w:t>
      </w:r>
    </w:p>
    <w:p w14:paraId="5622B237" w14:textId="77777777" w:rsidR="00E65596" w:rsidRPr="00E65596" w:rsidRDefault="00E65596" w:rsidP="00E65596">
      <w:pPr>
        <w:pStyle w:val="Copy"/>
      </w:pPr>
      <w:r w:rsidRPr="00E65596">
        <w:rPr>
          <w:b/>
          <w:bCs/>
        </w:rPr>
        <w:t>Core Partners</w:t>
      </w:r>
      <w:r w:rsidRPr="00E65596">
        <w:rPr>
          <w:b/>
          <w:bCs/>
        </w:rPr>
        <w:br/>
      </w:r>
      <w:r w:rsidRPr="00E65596">
        <w:t>Commission on Women, Children, Seniors, Equity &amp; Opportunity</w:t>
      </w:r>
    </w:p>
    <w:p w14:paraId="0C1BCD23" w14:textId="77777777" w:rsidR="00E65596" w:rsidRDefault="00E65596" w:rsidP="00E65596">
      <w:pPr>
        <w:pStyle w:val="Copy"/>
      </w:pPr>
      <w:r w:rsidRPr="00E65596">
        <w:t>Connecticut Community Care</w:t>
      </w:r>
    </w:p>
    <w:p w14:paraId="76945A73" w14:textId="77777777" w:rsidR="00EB49AB" w:rsidRPr="00EB49AB" w:rsidRDefault="00EB49AB" w:rsidP="00EB49AB">
      <w:pPr>
        <w:pStyle w:val="Copy"/>
      </w:pPr>
      <w:r w:rsidRPr="00EB49AB">
        <w:t>Connecticut Council on Developmental Disabilities</w:t>
      </w:r>
    </w:p>
    <w:p w14:paraId="2199736F" w14:textId="77777777" w:rsidR="00E65596" w:rsidRPr="00E65596" w:rsidRDefault="00E65596" w:rsidP="00E65596">
      <w:pPr>
        <w:pStyle w:val="Copy"/>
      </w:pPr>
      <w:r w:rsidRPr="00E65596">
        <w:t xml:space="preserve">Connecticut State Department of Aging and Disability Services </w:t>
      </w:r>
    </w:p>
    <w:p w14:paraId="16EE3A40" w14:textId="77777777" w:rsidR="00E65596" w:rsidRPr="00E65596" w:rsidRDefault="00E65596" w:rsidP="00E65596">
      <w:pPr>
        <w:pStyle w:val="Copy"/>
      </w:pPr>
      <w:r w:rsidRPr="00E65596">
        <w:t>Point32Health Foundation</w:t>
      </w:r>
    </w:p>
    <w:p w14:paraId="08CE6236" w14:textId="77777777" w:rsidR="00EB49AB" w:rsidRPr="00EB49AB" w:rsidRDefault="00E65596" w:rsidP="00EB49AB">
      <w:pPr>
        <w:pStyle w:val="Copy"/>
      </w:pPr>
      <w:r w:rsidRPr="00E65596">
        <w:rPr>
          <w:b/>
          <w:bCs/>
        </w:rPr>
        <w:lastRenderedPageBreak/>
        <w:t>Collaborating Partners</w:t>
      </w:r>
      <w:r w:rsidRPr="00E65596">
        <w:rPr>
          <w:b/>
          <w:bCs/>
        </w:rPr>
        <w:br/>
      </w:r>
      <w:r w:rsidR="00EB49AB" w:rsidRPr="00EB49AB">
        <w:t xml:space="preserve">AARP Connecticut </w:t>
      </w:r>
    </w:p>
    <w:p w14:paraId="709A77BF" w14:textId="77777777" w:rsidR="00EB49AB" w:rsidRPr="00EB49AB" w:rsidRDefault="00EB49AB" w:rsidP="00EB49AB">
      <w:pPr>
        <w:pStyle w:val="Copy"/>
      </w:pPr>
      <w:proofErr w:type="spellStart"/>
      <w:r w:rsidRPr="00EB49AB">
        <w:t>AgingCT</w:t>
      </w:r>
      <w:proofErr w:type="spellEnd"/>
    </w:p>
    <w:p w14:paraId="70F0DB30" w14:textId="77777777" w:rsidR="00EB49AB" w:rsidRPr="00EB49AB" w:rsidRDefault="00EB49AB" w:rsidP="00EB49AB">
      <w:pPr>
        <w:pStyle w:val="Copy"/>
      </w:pPr>
      <w:r w:rsidRPr="00EB49AB">
        <w:t>Alzheimer’s Association CT Chapter</w:t>
      </w:r>
    </w:p>
    <w:p w14:paraId="6315A391" w14:textId="77777777" w:rsidR="00EB49AB" w:rsidRPr="00EB49AB" w:rsidRDefault="00EB49AB" w:rsidP="00EB49AB">
      <w:pPr>
        <w:pStyle w:val="Copy"/>
      </w:pPr>
      <w:r w:rsidRPr="00EB49AB">
        <w:t xml:space="preserve">The Arc Connecticut </w:t>
      </w:r>
    </w:p>
    <w:p w14:paraId="5030D781" w14:textId="77777777" w:rsidR="00EB49AB" w:rsidRPr="00EB49AB" w:rsidRDefault="00EB49AB" w:rsidP="00EB49AB">
      <w:pPr>
        <w:pStyle w:val="Copy"/>
      </w:pPr>
      <w:r w:rsidRPr="00EB49AB">
        <w:t xml:space="preserve">Center for Medicare Advocacy </w:t>
      </w:r>
    </w:p>
    <w:p w14:paraId="7CC843EE" w14:textId="77777777" w:rsidR="00EB49AB" w:rsidRPr="00EB49AB" w:rsidRDefault="00EB49AB" w:rsidP="00EB49AB">
      <w:pPr>
        <w:pStyle w:val="Copy"/>
      </w:pPr>
      <w:r w:rsidRPr="00EB49AB">
        <w:t>Central Connecticut State University</w:t>
      </w:r>
    </w:p>
    <w:p w14:paraId="29E2FA06" w14:textId="77777777" w:rsidR="00EB49AB" w:rsidRPr="00EB49AB" w:rsidRDefault="00EB49AB" w:rsidP="00EB49AB">
      <w:pPr>
        <w:pStyle w:val="Copy"/>
      </w:pPr>
      <w:r w:rsidRPr="00EB49AB">
        <w:t xml:space="preserve">Connecticut Association of Directors of Health </w:t>
      </w:r>
    </w:p>
    <w:p w14:paraId="039E75B3" w14:textId="77777777" w:rsidR="00EB49AB" w:rsidRPr="00EB49AB" w:rsidRDefault="00EB49AB" w:rsidP="00EB49AB">
      <w:pPr>
        <w:pStyle w:val="Copy"/>
      </w:pPr>
      <w:r w:rsidRPr="00EB49AB">
        <w:t xml:space="preserve">Connecticut Association of Senior Center Personnel </w:t>
      </w:r>
    </w:p>
    <w:p w14:paraId="71160C5F" w14:textId="77777777" w:rsidR="00EB49AB" w:rsidRPr="00EB49AB" w:rsidRDefault="00EB49AB" w:rsidP="00EB49AB">
      <w:pPr>
        <w:pStyle w:val="Copy"/>
      </w:pPr>
      <w:r w:rsidRPr="00EB49AB">
        <w:t xml:space="preserve">Connecticut Coalition to End Homelessness </w:t>
      </w:r>
    </w:p>
    <w:p w14:paraId="75E58920" w14:textId="77777777" w:rsidR="00EB49AB" w:rsidRPr="00EB49AB" w:rsidRDefault="00EB49AB" w:rsidP="00EB49AB">
      <w:pPr>
        <w:pStyle w:val="Copy"/>
      </w:pPr>
      <w:r w:rsidRPr="00EB49AB">
        <w:t xml:space="preserve">Connecticut Conference of Municipalities </w:t>
      </w:r>
    </w:p>
    <w:p w14:paraId="01CA9122" w14:textId="77777777" w:rsidR="00EB49AB" w:rsidRPr="00EB49AB" w:rsidRDefault="00EB49AB" w:rsidP="00EB49AB">
      <w:pPr>
        <w:pStyle w:val="Copy"/>
      </w:pPr>
      <w:r w:rsidRPr="00EB49AB">
        <w:t>Connecticut Local Administrators of Social Services</w:t>
      </w:r>
    </w:p>
    <w:p w14:paraId="532E663F" w14:textId="77777777" w:rsidR="00EB49AB" w:rsidRPr="00EB49AB" w:rsidRDefault="00EB49AB" w:rsidP="00EB49AB">
      <w:pPr>
        <w:pStyle w:val="Copy"/>
      </w:pPr>
      <w:r w:rsidRPr="00EB49AB">
        <w:t>Connecticut Main Street Center</w:t>
      </w:r>
    </w:p>
    <w:p w14:paraId="36154EC3" w14:textId="77777777" w:rsidR="00EB49AB" w:rsidRPr="00EB49AB" w:rsidRDefault="00EB49AB" w:rsidP="00EB49AB">
      <w:pPr>
        <w:pStyle w:val="Copy"/>
      </w:pPr>
      <w:r w:rsidRPr="00EB49AB">
        <w:t>CT Chapter of American Planning Association</w:t>
      </w:r>
    </w:p>
    <w:p w14:paraId="6A7B7171" w14:textId="77777777" w:rsidR="00EB49AB" w:rsidRPr="00EB49AB" w:rsidRDefault="00EB49AB" w:rsidP="00EB49AB">
      <w:pPr>
        <w:pStyle w:val="Copy"/>
      </w:pPr>
      <w:r w:rsidRPr="00EB49AB">
        <w:lastRenderedPageBreak/>
        <w:t xml:space="preserve">CT Council of Small Towns </w:t>
      </w:r>
    </w:p>
    <w:p w14:paraId="1CBBFDC1" w14:textId="77777777" w:rsidR="00EB49AB" w:rsidRPr="00EB49AB" w:rsidRDefault="00EB49AB" w:rsidP="00EB49AB">
      <w:pPr>
        <w:pStyle w:val="Copy"/>
      </w:pPr>
      <w:proofErr w:type="spellStart"/>
      <w:r w:rsidRPr="00EB49AB">
        <w:t>CTData</w:t>
      </w:r>
      <w:proofErr w:type="spellEnd"/>
      <w:r w:rsidRPr="00EB49AB">
        <w:t xml:space="preserve"> Collaborative </w:t>
      </w:r>
    </w:p>
    <w:p w14:paraId="730298B2" w14:textId="77777777" w:rsidR="00EB49AB" w:rsidRPr="00EB49AB" w:rsidRDefault="00EB49AB" w:rsidP="00EB49AB">
      <w:pPr>
        <w:pStyle w:val="Copy"/>
      </w:pPr>
      <w:r w:rsidRPr="00EB49AB">
        <w:t xml:space="preserve">CT Department of Public Health </w:t>
      </w:r>
    </w:p>
    <w:p w14:paraId="45A8DEB9" w14:textId="77777777" w:rsidR="00EB49AB" w:rsidRPr="00EB49AB" w:rsidRDefault="00EB49AB" w:rsidP="00EB49AB">
      <w:pPr>
        <w:pStyle w:val="Copy"/>
      </w:pPr>
      <w:r w:rsidRPr="00EB49AB">
        <w:t xml:space="preserve">CT State Independent Living Council </w:t>
      </w:r>
    </w:p>
    <w:p w14:paraId="7A7534FF" w14:textId="77777777" w:rsidR="00EB49AB" w:rsidRPr="00EB49AB" w:rsidRDefault="00EB49AB" w:rsidP="00EB49AB">
      <w:pPr>
        <w:pStyle w:val="Copy"/>
      </w:pPr>
      <w:r w:rsidRPr="00EB49AB">
        <w:t xml:space="preserve">CT Training and Technical Assistance Center at UCONN </w:t>
      </w:r>
    </w:p>
    <w:p w14:paraId="7D7F1A03" w14:textId="77777777" w:rsidR="00EB49AB" w:rsidRPr="00EB49AB" w:rsidRDefault="00EB49AB" w:rsidP="00EB49AB">
      <w:pPr>
        <w:pStyle w:val="Copy"/>
      </w:pPr>
      <w:r w:rsidRPr="00EB49AB">
        <w:t xml:space="preserve">The Housing Collective - </w:t>
      </w:r>
      <w:r w:rsidRPr="00EB49AB">
        <w:br/>
        <w:t xml:space="preserve">Centers for Housing Opportunity </w:t>
      </w:r>
    </w:p>
    <w:p w14:paraId="1015DD34" w14:textId="77777777" w:rsidR="00EB49AB" w:rsidRPr="00EB49AB" w:rsidRDefault="00EB49AB" w:rsidP="00EB49AB">
      <w:pPr>
        <w:pStyle w:val="Copy"/>
      </w:pPr>
      <w:r w:rsidRPr="00EB49AB">
        <w:t>LeadingAge Connecticut</w:t>
      </w:r>
    </w:p>
    <w:p w14:paraId="31D3CDF6" w14:textId="77777777" w:rsidR="00EB49AB" w:rsidRPr="00EB49AB" w:rsidRDefault="00EB49AB" w:rsidP="00EB49AB">
      <w:pPr>
        <w:pStyle w:val="Copy"/>
      </w:pPr>
      <w:r w:rsidRPr="00EB49AB">
        <w:t>National Conference for Community and Justice</w:t>
      </w:r>
    </w:p>
    <w:p w14:paraId="25912771" w14:textId="77777777" w:rsidR="00EB49AB" w:rsidRPr="00EB49AB" w:rsidRDefault="00EB49AB" w:rsidP="00EB49AB">
      <w:pPr>
        <w:pStyle w:val="Copy"/>
      </w:pPr>
      <w:r w:rsidRPr="00EB49AB">
        <w:t>Partnership for Strong Communities</w:t>
      </w:r>
    </w:p>
    <w:p w14:paraId="4CA2E20E" w14:textId="77777777" w:rsidR="00EB49AB" w:rsidRPr="00EB49AB" w:rsidRDefault="00EB49AB" w:rsidP="00EB49AB">
      <w:pPr>
        <w:pStyle w:val="Copy"/>
      </w:pPr>
      <w:r w:rsidRPr="00EB49AB">
        <w:t>Regional Plan Association</w:t>
      </w:r>
    </w:p>
    <w:p w14:paraId="1FC72248" w14:textId="77777777" w:rsidR="00EB49AB" w:rsidRPr="00EB49AB" w:rsidRDefault="00EB49AB" w:rsidP="00EB49AB">
      <w:pPr>
        <w:pStyle w:val="Copy"/>
      </w:pPr>
      <w:r w:rsidRPr="00EB49AB">
        <w:t xml:space="preserve">Sustainable CT </w:t>
      </w:r>
    </w:p>
    <w:p w14:paraId="58A23622" w14:textId="357AECEA" w:rsidR="00F717D9" w:rsidRDefault="00EB49AB" w:rsidP="00EB49AB">
      <w:pPr>
        <w:pStyle w:val="Copy"/>
        <w:rPr>
          <w:sz w:val="48"/>
          <w:szCs w:val="48"/>
        </w:rPr>
      </w:pPr>
      <w:r w:rsidRPr="00EB49AB">
        <w:t>UConn Center on Aging, University of Connecticut</w:t>
      </w:r>
      <w:r w:rsidR="00F717D9">
        <w:rPr>
          <w:sz w:val="48"/>
          <w:szCs w:val="48"/>
        </w:rPr>
        <w:br w:type="page"/>
      </w:r>
    </w:p>
    <w:p w14:paraId="2F495464" w14:textId="57D9C688" w:rsidR="00F717D9" w:rsidRPr="00EB49AB" w:rsidRDefault="00F717D9" w:rsidP="00EB49AB">
      <w:pPr>
        <w:pStyle w:val="Heading"/>
      </w:pPr>
      <w:r w:rsidRPr="00EB49AB">
        <w:lastRenderedPageBreak/>
        <w:t>Steering Committee</w:t>
      </w:r>
    </w:p>
    <w:p w14:paraId="6C0BBBE7" w14:textId="77777777" w:rsidR="00EB49AB" w:rsidRPr="00EB49AB" w:rsidRDefault="00EB49AB" w:rsidP="00EB49AB">
      <w:pPr>
        <w:pStyle w:val="Copy"/>
      </w:pPr>
      <w:r w:rsidRPr="00EB49AB">
        <w:rPr>
          <w:b/>
          <w:bCs/>
        </w:rPr>
        <w:t>Ellen Carter</w:t>
      </w:r>
      <w:r w:rsidRPr="00EB49AB">
        <w:rPr>
          <w:b/>
          <w:bCs/>
        </w:rPr>
        <w:br/>
      </w:r>
      <w:r w:rsidRPr="00EB49AB">
        <w:t>Vice President of Program, Connecticut Health Foundation</w:t>
      </w:r>
    </w:p>
    <w:p w14:paraId="19347598" w14:textId="77777777" w:rsidR="00EB49AB" w:rsidRPr="00EB49AB" w:rsidRDefault="00EB49AB" w:rsidP="00EB49AB">
      <w:pPr>
        <w:pStyle w:val="Copy"/>
      </w:pPr>
      <w:r w:rsidRPr="00EB49AB">
        <w:rPr>
          <w:b/>
          <w:bCs/>
        </w:rPr>
        <w:t>Ayesha Clarke</w:t>
      </w:r>
      <w:r w:rsidRPr="00EB49AB">
        <w:rPr>
          <w:b/>
          <w:bCs/>
        </w:rPr>
        <w:br/>
      </w:r>
      <w:r w:rsidRPr="00EB49AB">
        <w:t>Interim Executive Director, Health Equity Solutions</w:t>
      </w:r>
    </w:p>
    <w:p w14:paraId="0C90189F" w14:textId="77777777" w:rsidR="00EB49AB" w:rsidRPr="00EB49AB" w:rsidRDefault="00EB49AB" w:rsidP="00EB49AB">
      <w:pPr>
        <w:pStyle w:val="Copy"/>
      </w:pPr>
      <w:proofErr w:type="spellStart"/>
      <w:r w:rsidRPr="00EB49AB">
        <w:rPr>
          <w:b/>
          <w:bCs/>
        </w:rPr>
        <w:t>Stephanye</w:t>
      </w:r>
      <w:proofErr w:type="spellEnd"/>
      <w:r w:rsidRPr="00EB49AB">
        <w:rPr>
          <w:b/>
          <w:bCs/>
        </w:rPr>
        <w:t xml:space="preserve"> Clarke</w:t>
      </w:r>
      <w:r w:rsidRPr="00EB49AB">
        <w:rPr>
          <w:b/>
          <w:bCs/>
        </w:rPr>
        <w:br/>
      </w:r>
      <w:r w:rsidRPr="00EB49AB">
        <w:t>Program Officer, Community Foundation of Eastern CT</w:t>
      </w:r>
    </w:p>
    <w:p w14:paraId="0F0D3B6B" w14:textId="77777777" w:rsidR="00EB49AB" w:rsidRPr="00EB49AB" w:rsidRDefault="00EB49AB" w:rsidP="00EB49AB">
      <w:pPr>
        <w:pStyle w:val="Copy"/>
      </w:pPr>
      <w:r w:rsidRPr="00EB49AB">
        <w:rPr>
          <w:b/>
          <w:bCs/>
        </w:rPr>
        <w:t>Joel Cox</w:t>
      </w:r>
      <w:r w:rsidRPr="00EB49AB">
        <w:rPr>
          <w:b/>
          <w:bCs/>
        </w:rPr>
        <w:br/>
      </w:r>
      <w:r w:rsidRPr="00EB49AB">
        <w:t>Director of Human Services, City of Manchester</w:t>
      </w:r>
    </w:p>
    <w:p w14:paraId="09AD3F6E" w14:textId="77777777" w:rsidR="00EB49AB" w:rsidRPr="00EB49AB" w:rsidRDefault="00EB49AB" w:rsidP="00EB49AB">
      <w:pPr>
        <w:pStyle w:val="Copy"/>
      </w:pPr>
      <w:r w:rsidRPr="00EB49AB">
        <w:rPr>
          <w:b/>
          <w:bCs/>
        </w:rPr>
        <w:t xml:space="preserve">Anna </w:t>
      </w:r>
      <w:proofErr w:type="spellStart"/>
      <w:r w:rsidRPr="00EB49AB">
        <w:rPr>
          <w:b/>
          <w:bCs/>
        </w:rPr>
        <w:t>Doroghazi</w:t>
      </w:r>
      <w:proofErr w:type="spellEnd"/>
      <w:r w:rsidRPr="00EB49AB">
        <w:rPr>
          <w:b/>
          <w:bCs/>
        </w:rPr>
        <w:br/>
      </w:r>
      <w:r w:rsidRPr="00EB49AB">
        <w:t>Associate State Director, AARP Connecticut</w:t>
      </w:r>
    </w:p>
    <w:p w14:paraId="56672458" w14:textId="77777777" w:rsidR="00EB49AB" w:rsidRPr="00EB49AB" w:rsidRDefault="00EB49AB" w:rsidP="00EB49AB">
      <w:pPr>
        <w:pStyle w:val="Copy"/>
      </w:pPr>
      <w:r w:rsidRPr="00EB49AB">
        <w:rPr>
          <w:b/>
          <w:bCs/>
        </w:rPr>
        <w:t xml:space="preserve">Margaret </w:t>
      </w:r>
      <w:proofErr w:type="spellStart"/>
      <w:r w:rsidRPr="00EB49AB">
        <w:rPr>
          <w:b/>
          <w:bCs/>
        </w:rPr>
        <w:t>Gerundo-Murkette</w:t>
      </w:r>
      <w:proofErr w:type="spellEnd"/>
      <w:r w:rsidRPr="00EB49AB">
        <w:rPr>
          <w:b/>
          <w:bCs/>
        </w:rPr>
        <w:br/>
      </w:r>
      <w:r w:rsidRPr="00EB49AB">
        <w:t>Administration Manager, Connecticut Department of Aging and Disability Services</w:t>
      </w:r>
    </w:p>
    <w:p w14:paraId="4DEA2573" w14:textId="77777777" w:rsidR="00EB49AB" w:rsidRPr="00EB49AB" w:rsidRDefault="00EB49AB" w:rsidP="00EB49AB">
      <w:pPr>
        <w:pStyle w:val="Copy"/>
      </w:pPr>
      <w:r w:rsidRPr="00EB49AB">
        <w:rPr>
          <w:b/>
          <w:bCs/>
        </w:rPr>
        <w:t xml:space="preserve">Gretchen </w:t>
      </w:r>
      <w:proofErr w:type="spellStart"/>
      <w:r w:rsidRPr="00EB49AB">
        <w:rPr>
          <w:b/>
          <w:bCs/>
        </w:rPr>
        <w:t>Knauff</w:t>
      </w:r>
      <w:proofErr w:type="spellEnd"/>
      <w:r w:rsidRPr="00EB49AB">
        <w:rPr>
          <w:b/>
          <w:bCs/>
        </w:rPr>
        <w:br/>
      </w:r>
      <w:r w:rsidRPr="00EB49AB">
        <w:t>Director of Disability Services, City of New Haven</w:t>
      </w:r>
    </w:p>
    <w:p w14:paraId="2AAB92AE" w14:textId="77777777" w:rsidR="00EB49AB" w:rsidRPr="00EB49AB" w:rsidRDefault="00EB49AB" w:rsidP="00EB49AB">
      <w:pPr>
        <w:pStyle w:val="Copy"/>
        <w:rPr>
          <w:b/>
          <w:bCs/>
        </w:rPr>
      </w:pPr>
    </w:p>
    <w:p w14:paraId="1326F840" w14:textId="77777777" w:rsidR="00EB49AB" w:rsidRPr="00EB49AB" w:rsidRDefault="00EB49AB" w:rsidP="00EB49AB">
      <w:pPr>
        <w:pStyle w:val="Copy"/>
      </w:pPr>
      <w:r w:rsidRPr="00EB49AB">
        <w:rPr>
          <w:b/>
          <w:bCs/>
        </w:rPr>
        <w:lastRenderedPageBreak/>
        <w:t xml:space="preserve">Christy </w:t>
      </w:r>
      <w:proofErr w:type="spellStart"/>
      <w:r w:rsidRPr="00EB49AB">
        <w:rPr>
          <w:b/>
          <w:bCs/>
        </w:rPr>
        <w:t>Kovel</w:t>
      </w:r>
      <w:proofErr w:type="spellEnd"/>
      <w:r w:rsidRPr="00EB49AB">
        <w:rPr>
          <w:b/>
          <w:bCs/>
        </w:rPr>
        <w:br/>
      </w:r>
      <w:r w:rsidRPr="00EB49AB">
        <w:t>Director of Public Policy, Alzheimer’s Association</w:t>
      </w:r>
    </w:p>
    <w:p w14:paraId="590E7D53" w14:textId="77777777" w:rsidR="00EB49AB" w:rsidRPr="00EB49AB" w:rsidRDefault="00EB49AB" w:rsidP="00EB49AB">
      <w:pPr>
        <w:pStyle w:val="Copy"/>
      </w:pPr>
      <w:r w:rsidRPr="00EB49AB">
        <w:rPr>
          <w:b/>
          <w:bCs/>
        </w:rPr>
        <w:t>Andrea June</w:t>
      </w:r>
      <w:r w:rsidRPr="00EB49AB">
        <w:rPr>
          <w:b/>
          <w:bCs/>
        </w:rPr>
        <w:br/>
      </w:r>
      <w:r w:rsidRPr="00EB49AB">
        <w:t>Associate Professor, Central Connecticut State University</w:t>
      </w:r>
    </w:p>
    <w:p w14:paraId="1BEABD56" w14:textId="77777777" w:rsidR="00EB49AB" w:rsidRPr="00EB49AB" w:rsidRDefault="00EB49AB" w:rsidP="00EB49AB">
      <w:pPr>
        <w:pStyle w:val="Copy"/>
      </w:pPr>
      <w:r w:rsidRPr="00EB49AB">
        <w:rPr>
          <w:b/>
          <w:bCs/>
        </w:rPr>
        <w:t>Melissa Lang</w:t>
      </w:r>
      <w:r w:rsidRPr="00EB49AB">
        <w:rPr>
          <w:b/>
          <w:bCs/>
        </w:rPr>
        <w:br/>
      </w:r>
      <w:r w:rsidRPr="00EB49AB">
        <w:t xml:space="preserve">Director, Agency on Aging of </w:t>
      </w:r>
      <w:proofErr w:type="gramStart"/>
      <w:r w:rsidRPr="00EB49AB">
        <w:t>South Central</w:t>
      </w:r>
      <w:proofErr w:type="gramEnd"/>
      <w:r w:rsidRPr="00EB49AB">
        <w:t xml:space="preserve"> Connecticut, </w:t>
      </w:r>
      <w:proofErr w:type="spellStart"/>
      <w:r w:rsidRPr="00EB49AB">
        <w:t>AgingCT</w:t>
      </w:r>
      <w:proofErr w:type="spellEnd"/>
    </w:p>
    <w:p w14:paraId="176E3A1A" w14:textId="77777777" w:rsidR="00EB49AB" w:rsidRPr="00EB49AB" w:rsidRDefault="00EB49AB" w:rsidP="00EB49AB">
      <w:pPr>
        <w:pStyle w:val="Copy"/>
      </w:pPr>
      <w:r w:rsidRPr="00EB49AB">
        <w:rPr>
          <w:b/>
          <w:bCs/>
        </w:rPr>
        <w:t>Mag Morelli</w:t>
      </w:r>
      <w:r w:rsidRPr="00EB49AB">
        <w:rPr>
          <w:b/>
          <w:bCs/>
        </w:rPr>
        <w:br/>
      </w:r>
      <w:r w:rsidRPr="00EB49AB">
        <w:t>President, LeadingAge Connecticut</w:t>
      </w:r>
    </w:p>
    <w:p w14:paraId="7AB7B136" w14:textId="77777777" w:rsidR="00EB49AB" w:rsidRPr="00EB49AB" w:rsidRDefault="00EB49AB" w:rsidP="00EB49AB">
      <w:pPr>
        <w:pStyle w:val="Copy"/>
      </w:pPr>
      <w:r w:rsidRPr="00EB49AB">
        <w:rPr>
          <w:b/>
          <w:bCs/>
        </w:rPr>
        <w:t xml:space="preserve">Sherry </w:t>
      </w:r>
      <w:proofErr w:type="spellStart"/>
      <w:r w:rsidRPr="00EB49AB">
        <w:rPr>
          <w:b/>
          <w:bCs/>
        </w:rPr>
        <w:t>Ostrout</w:t>
      </w:r>
      <w:proofErr w:type="spellEnd"/>
      <w:r w:rsidRPr="00EB49AB">
        <w:rPr>
          <w:b/>
          <w:bCs/>
        </w:rPr>
        <w:br/>
      </w:r>
      <w:r w:rsidRPr="00EB49AB">
        <w:t>Director of Government Initiatives, Connecticut Community Care</w:t>
      </w:r>
    </w:p>
    <w:p w14:paraId="7416668A" w14:textId="77777777" w:rsidR="00EB49AB" w:rsidRPr="00EB49AB" w:rsidRDefault="00EB49AB" w:rsidP="00EB49AB">
      <w:pPr>
        <w:pStyle w:val="Copy"/>
      </w:pPr>
      <w:r w:rsidRPr="00EB49AB">
        <w:rPr>
          <w:b/>
          <w:bCs/>
        </w:rPr>
        <w:t xml:space="preserve">June </w:t>
      </w:r>
      <w:proofErr w:type="spellStart"/>
      <w:r w:rsidRPr="00EB49AB">
        <w:rPr>
          <w:b/>
          <w:bCs/>
        </w:rPr>
        <w:t>Renzulli</w:t>
      </w:r>
      <w:proofErr w:type="spellEnd"/>
      <w:r w:rsidRPr="00EB49AB">
        <w:rPr>
          <w:b/>
          <w:bCs/>
        </w:rPr>
        <w:br/>
      </w:r>
      <w:r w:rsidRPr="00EB49AB">
        <w:t>Retired aging services professional, Collaborative Chair</w:t>
      </w:r>
    </w:p>
    <w:p w14:paraId="1A68BB24" w14:textId="77777777" w:rsidR="00EB49AB" w:rsidRPr="00EB49AB" w:rsidRDefault="00EB49AB" w:rsidP="00EB49AB">
      <w:pPr>
        <w:pStyle w:val="Copy"/>
      </w:pPr>
      <w:r w:rsidRPr="00EB49AB">
        <w:rPr>
          <w:b/>
          <w:bCs/>
        </w:rPr>
        <w:t>Kyle Shiel</w:t>
      </w:r>
      <w:r w:rsidRPr="00EB49AB">
        <w:rPr>
          <w:b/>
          <w:bCs/>
        </w:rPr>
        <w:br/>
      </w:r>
      <w:r w:rsidRPr="00EB49AB">
        <w:t>Principal Planner, Capitol Regional Council of Governments</w:t>
      </w:r>
    </w:p>
    <w:p w14:paraId="3EE0030F" w14:textId="77777777" w:rsidR="00EB49AB" w:rsidRPr="00EB49AB" w:rsidRDefault="00EB49AB" w:rsidP="00EB49AB">
      <w:pPr>
        <w:pStyle w:val="Copy"/>
      </w:pPr>
      <w:r w:rsidRPr="00EB49AB">
        <w:rPr>
          <w:b/>
          <w:bCs/>
        </w:rPr>
        <w:t>Deborah Stein</w:t>
      </w:r>
      <w:r w:rsidRPr="00EB49AB">
        <w:rPr>
          <w:b/>
          <w:bCs/>
        </w:rPr>
        <w:br/>
      </w:r>
      <w:r w:rsidRPr="00EB49AB">
        <w:t xml:space="preserve">Retired aging services </w:t>
      </w:r>
      <w:proofErr w:type="gramStart"/>
      <w:r w:rsidRPr="00EB49AB">
        <w:t>professional</w:t>
      </w:r>
      <w:proofErr w:type="gramEnd"/>
    </w:p>
    <w:p w14:paraId="32E22C05" w14:textId="77777777" w:rsidR="00EB49AB" w:rsidRPr="00EB49AB" w:rsidRDefault="00EB49AB" w:rsidP="00EB49AB">
      <w:pPr>
        <w:pStyle w:val="Copy"/>
      </w:pPr>
      <w:r w:rsidRPr="00EB49AB">
        <w:rPr>
          <w:b/>
          <w:bCs/>
        </w:rPr>
        <w:lastRenderedPageBreak/>
        <w:t>Christie Stewart</w:t>
      </w:r>
      <w:r w:rsidRPr="00EB49AB">
        <w:rPr>
          <w:b/>
          <w:bCs/>
        </w:rPr>
        <w:br/>
      </w:r>
      <w:r w:rsidRPr="00EB49AB">
        <w:t>Chief Initiative Officer, Center for Housing Opportunity</w:t>
      </w:r>
    </w:p>
    <w:p w14:paraId="29BF7FEE" w14:textId="77777777" w:rsidR="00EB49AB" w:rsidRPr="00EB49AB" w:rsidRDefault="00EB49AB" w:rsidP="00EB49AB">
      <w:pPr>
        <w:pStyle w:val="Copy"/>
      </w:pPr>
      <w:r w:rsidRPr="00EB49AB">
        <w:rPr>
          <w:b/>
          <w:bCs/>
        </w:rPr>
        <w:t>Dianne Stone</w:t>
      </w:r>
      <w:r w:rsidRPr="00EB49AB">
        <w:rPr>
          <w:b/>
          <w:bCs/>
        </w:rPr>
        <w:br/>
      </w:r>
      <w:r w:rsidRPr="00EB49AB">
        <w:t>Associate Director, National Council on Aging</w:t>
      </w:r>
    </w:p>
    <w:p w14:paraId="0CFB271B" w14:textId="329B8535" w:rsidR="00F717D9" w:rsidRPr="00F717D9" w:rsidRDefault="00EB49AB" w:rsidP="00EB49AB">
      <w:pPr>
        <w:pStyle w:val="Copy"/>
      </w:pPr>
      <w:r w:rsidRPr="00EB49AB">
        <w:rPr>
          <w:b/>
          <w:bCs/>
        </w:rPr>
        <w:t>Michael Werner</w:t>
      </w:r>
      <w:r w:rsidRPr="00EB49AB">
        <w:rPr>
          <w:b/>
          <w:bCs/>
        </w:rPr>
        <w:br/>
      </w:r>
      <w:r w:rsidRPr="00EB49AB">
        <w:t>Legislative Aging Policy Analyst, Commission on Women, Children, Seniors, Equity &amp; Opportunity</w:t>
      </w:r>
    </w:p>
    <w:p w14:paraId="77171B6C" w14:textId="77777777" w:rsidR="00F717D9" w:rsidRDefault="00F717D9">
      <w:pPr>
        <w:rPr>
          <w:rFonts w:ascii="Arial" w:hAnsi="Arial" w:cs="Arial"/>
          <w:b/>
          <w:bCs/>
          <w:sz w:val="48"/>
          <w:szCs w:val="48"/>
        </w:rPr>
      </w:pPr>
      <w:r>
        <w:rPr>
          <w:sz w:val="48"/>
          <w:szCs w:val="48"/>
        </w:rPr>
        <w:br w:type="page"/>
      </w:r>
    </w:p>
    <w:p w14:paraId="2438B089" w14:textId="46E916A9" w:rsidR="00F717D9" w:rsidRPr="00EB49AB" w:rsidRDefault="00F717D9" w:rsidP="00EB49AB">
      <w:pPr>
        <w:pStyle w:val="Heading"/>
      </w:pPr>
      <w:r w:rsidRPr="00EB49AB">
        <w:lastRenderedPageBreak/>
        <w:t>Funders</w:t>
      </w:r>
    </w:p>
    <w:p w14:paraId="2DD94493" w14:textId="77777777" w:rsidR="00F717D9" w:rsidRPr="00F717D9" w:rsidRDefault="00F717D9" w:rsidP="00F717D9">
      <w:pPr>
        <w:pStyle w:val="Copy"/>
      </w:pPr>
      <w:r w:rsidRPr="00F717D9">
        <w:t>The Connecticut Age Well Collaborative is generously supported by:</w:t>
      </w:r>
    </w:p>
    <w:p w14:paraId="032875DA" w14:textId="77777777" w:rsidR="00F717D9" w:rsidRPr="00F717D9" w:rsidRDefault="00F717D9" w:rsidP="00F717D9">
      <w:pPr>
        <w:pStyle w:val="Copy"/>
      </w:pPr>
      <w:r w:rsidRPr="00F717D9">
        <w:t>Point32Health Foundation</w:t>
      </w:r>
    </w:p>
    <w:p w14:paraId="423DD362" w14:textId="77777777" w:rsidR="00F717D9" w:rsidRPr="00F717D9" w:rsidRDefault="00F717D9" w:rsidP="00F717D9">
      <w:pPr>
        <w:pStyle w:val="Copy"/>
      </w:pPr>
      <w:r w:rsidRPr="00F717D9">
        <w:t xml:space="preserve">Connecticut State Department of Aging and Disability Services </w:t>
      </w:r>
    </w:p>
    <w:p w14:paraId="58E3305E" w14:textId="77777777" w:rsidR="00F717D9" w:rsidRDefault="00F717D9" w:rsidP="00F717D9">
      <w:pPr>
        <w:pStyle w:val="Copy"/>
      </w:pPr>
      <w:r w:rsidRPr="00F717D9">
        <w:t>Connecticut Community Care</w:t>
      </w:r>
    </w:p>
    <w:p w14:paraId="03C2ED55" w14:textId="77777777" w:rsidR="00EB49AB" w:rsidRPr="00EB49AB" w:rsidRDefault="00EB49AB" w:rsidP="00EB49AB">
      <w:pPr>
        <w:pStyle w:val="Copy"/>
      </w:pPr>
      <w:r w:rsidRPr="00EB49AB">
        <w:t>Connecticut Council on Developmental Disabilities</w:t>
      </w:r>
    </w:p>
    <w:p w14:paraId="3BD736CE" w14:textId="77777777" w:rsidR="00EB49AB" w:rsidRPr="00F717D9" w:rsidRDefault="00EB49AB" w:rsidP="00F717D9">
      <w:pPr>
        <w:pStyle w:val="Copy"/>
      </w:pPr>
    </w:p>
    <w:p w14:paraId="7BAB8420" w14:textId="77777777" w:rsidR="00F717D9" w:rsidRDefault="00F717D9">
      <w:pPr>
        <w:rPr>
          <w:rFonts w:ascii="Arial" w:hAnsi="Arial" w:cs="Arial"/>
          <w:b/>
          <w:bCs/>
          <w:sz w:val="36"/>
          <w:szCs w:val="36"/>
        </w:rPr>
      </w:pPr>
      <w:r>
        <w:rPr>
          <w:b/>
          <w:bCs/>
        </w:rPr>
        <w:br w:type="page"/>
      </w:r>
    </w:p>
    <w:p w14:paraId="058AA860" w14:textId="77777777" w:rsidR="00EB49AB" w:rsidRPr="00EB49AB" w:rsidRDefault="00F717D9" w:rsidP="00EB49AB">
      <w:pPr>
        <w:pStyle w:val="Copy"/>
        <w:rPr>
          <w:rFonts w:ascii="HelveticaNeueLT Std" w:hAnsi="HelveticaNeueLT Std" w:cs="HelveticaNeueLT Std"/>
          <w:color w:val="000000"/>
          <w:kern w:val="0"/>
        </w:rPr>
      </w:pPr>
      <w:r w:rsidRPr="00F717D9">
        <w:rPr>
          <w:b/>
          <w:bCs/>
        </w:rPr>
        <w:lastRenderedPageBreak/>
        <w:t>Suggested Citation</w:t>
      </w:r>
      <w:r w:rsidRPr="00F717D9">
        <w:rPr>
          <w:b/>
          <w:bCs/>
        </w:rPr>
        <w:br/>
      </w:r>
      <w:r w:rsidR="00EB49AB" w:rsidRPr="00EB49AB">
        <w:rPr>
          <w:rFonts w:ascii="HelveticaNeueLT Std" w:hAnsi="HelveticaNeueLT Std" w:cs="HelveticaNeueLT Std"/>
          <w:color w:val="000000"/>
          <w:kern w:val="0"/>
        </w:rPr>
        <w:t>Connecticut Age Well Collaborative. Honoring Community Excellence: Community Examples of Innovation and Inspiration. Resource Guide Series (2023), available at https://ctagewellcollaborative.org.</w:t>
      </w:r>
    </w:p>
    <w:p w14:paraId="711ED975" w14:textId="333F4C44" w:rsidR="00F717D9" w:rsidRDefault="00E65596" w:rsidP="00E65596">
      <w:pPr>
        <w:pStyle w:val="Copy"/>
      </w:pPr>
      <w:r w:rsidRPr="00E65596">
        <w:t>©2023 by the Connecticut Age Well Collaborative, an initiative of Connecticut Community Care</w:t>
      </w:r>
    </w:p>
    <w:p w14:paraId="52A35705" w14:textId="77777777" w:rsidR="00F717D9" w:rsidRDefault="00F717D9">
      <w:pPr>
        <w:rPr>
          <w:rFonts w:ascii="Arial" w:hAnsi="Arial" w:cs="Arial"/>
          <w:sz w:val="36"/>
          <w:szCs w:val="36"/>
        </w:rPr>
        <w:sectPr w:rsidR="00F717D9" w:rsidSect="00F717D9">
          <w:footerReference w:type="default" r:id="rId9"/>
          <w:pgSz w:w="12240" w:h="15840"/>
          <w:pgMar w:top="1440" w:right="1152" w:bottom="1152" w:left="1152" w:header="720" w:footer="720" w:gutter="0"/>
          <w:pgNumType w:start="1"/>
          <w:cols w:space="720"/>
          <w:docGrid w:linePitch="360"/>
        </w:sectPr>
      </w:pPr>
    </w:p>
    <w:p w14:paraId="709A5AAF" w14:textId="1C6851F9" w:rsidR="00F717D9" w:rsidRDefault="00F717D9">
      <w:pPr>
        <w:rPr>
          <w:rFonts w:ascii="Arial" w:hAnsi="Arial" w:cs="Arial"/>
          <w:sz w:val="36"/>
          <w:szCs w:val="36"/>
        </w:rPr>
      </w:pPr>
    </w:p>
    <w:p w14:paraId="11F6953A" w14:textId="3D81436D" w:rsidR="00F717D9" w:rsidRPr="00F717D9" w:rsidRDefault="00F717D9" w:rsidP="00F717D9">
      <w:pPr>
        <w:pStyle w:val="Copy"/>
      </w:pPr>
      <w:r>
        <w:rPr>
          <w:noProof/>
        </w:rPr>
        <mc:AlternateContent>
          <mc:Choice Requires="wps">
            <w:drawing>
              <wp:anchor distT="0" distB="0" distL="114300" distR="114300" simplePos="0" relativeHeight="251659264" behindDoc="0" locked="0" layoutInCell="1" allowOverlap="1" wp14:anchorId="230484F1" wp14:editId="059FC4DF">
                <wp:simplePos x="0" y="0"/>
                <wp:positionH relativeFrom="column">
                  <wp:posOffset>0</wp:posOffset>
                </wp:positionH>
                <wp:positionV relativeFrom="paragraph">
                  <wp:posOffset>5956300</wp:posOffset>
                </wp:positionV>
                <wp:extent cx="1828800" cy="1828800"/>
                <wp:effectExtent l="0" t="0" r="0" b="0"/>
                <wp:wrapSquare wrapText="bothSides"/>
                <wp:docPr id="490260267"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ABDDDFF" w14:textId="77777777" w:rsidR="00F717D9" w:rsidRPr="00777328" w:rsidRDefault="00F717D9" w:rsidP="00777328">
                            <w:pPr>
                              <w:pStyle w:val="Copy"/>
                              <w:rPr>
                                <w:b/>
                                <w:bCs/>
                              </w:rPr>
                            </w:pPr>
                            <w:r w:rsidRPr="00F717D9">
                              <w:rPr>
                                <w:b/>
                                <w:bCs/>
                              </w:rPr>
                              <w:t>Connecticut Age Well Collaborative</w:t>
                            </w:r>
                            <w:r w:rsidRPr="00F717D9">
                              <w:rPr>
                                <w:b/>
                                <w:bCs/>
                              </w:rPr>
                              <w:br/>
                            </w:r>
                            <w:r w:rsidRPr="00F717D9">
                              <w:t>43 Enterprise Drive</w:t>
                            </w:r>
                            <w:r w:rsidRPr="00F717D9">
                              <w:br/>
                              <w:t>Bristol, Connecticut</w:t>
                            </w:r>
                            <w:r w:rsidRPr="00F717D9">
                              <w:t> </w:t>
                            </w:r>
                            <w:r w:rsidRPr="00F717D9">
                              <w:t>06010</w:t>
                            </w:r>
                            <w:r w:rsidRPr="00F717D9">
                              <w:br/>
                              <w:t xml:space="preserve">860.314.2242 </w:t>
                            </w:r>
                            <w:r w:rsidRPr="00F717D9">
                              <w:br/>
                              <w:t>ctagewell@ctcommunitycare.org</w:t>
                            </w:r>
                            <w:r w:rsidRPr="00F717D9">
                              <w:br/>
                              <w:t>ctagewellcollaborative.org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30484F1" id="_x0000_t202" coordsize="21600,21600" o:spt="202" path="m,l,21600r21600,l21600,xe">
                <v:stroke joinstyle="miter"/>
                <v:path gradientshapeok="t" o:connecttype="rect"/>
              </v:shapetype>
              <v:shape id="Text Box 1" o:spid="_x0000_s1026" type="#_x0000_t202" style="position:absolute;margin-left:0;margin-top:469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" filled="f" stroked="f" strokeweight=".5pt">
                <v:fill o:detectmouseclick="t"/>
                <v:textbox style="mso-fit-shape-to-text:t">
                  <w:txbxContent>
                    <w:p w14:paraId="3ABDDDFF" w14:textId="77777777" w:rsidR="00F717D9" w:rsidRPr="00777328" w:rsidRDefault="00F717D9" w:rsidP="00777328">
                      <w:pPr>
                        <w:pStyle w:val="Copy"/>
                        <w:rPr>
                          <w:b/>
                          <w:bCs/>
                        </w:rPr>
                      </w:pPr>
                      <w:r w:rsidRPr="00F717D9">
                        <w:rPr>
                          <w:b/>
                          <w:bCs/>
                        </w:rPr>
                        <w:t>Connecticut Age Well Collaborative</w:t>
                      </w:r>
                      <w:r w:rsidRPr="00F717D9">
                        <w:rPr>
                          <w:b/>
                          <w:bCs/>
                        </w:rPr>
                        <w:br/>
                      </w:r>
                      <w:r w:rsidRPr="00F717D9">
                        <w:t>43 Enterprise Drive</w:t>
                      </w:r>
                      <w:r w:rsidRPr="00F717D9">
                        <w:br/>
                        <w:t>Bristol, Connecticut</w:t>
                      </w:r>
                      <w:r w:rsidRPr="00F717D9">
                        <w:t> </w:t>
                      </w:r>
                      <w:r w:rsidRPr="00F717D9">
                        <w:t>06010</w:t>
                      </w:r>
                      <w:r w:rsidRPr="00F717D9">
                        <w:br/>
                        <w:t xml:space="preserve">860.314.2242 </w:t>
                      </w:r>
                      <w:r w:rsidRPr="00F717D9">
                        <w:br/>
                        <w:t>ctagewell@ctcommunitycare.org</w:t>
                      </w:r>
                      <w:r w:rsidRPr="00F717D9">
                        <w:br/>
                        <w:t>ctagewellcollaborative.org</w:t>
                      </w:r>
                    </w:p>
                  </w:txbxContent>
                </v:textbox>
                <w10:wrap type="square"/>
              </v:shape>
            </w:pict>
          </mc:Fallback>
        </mc:AlternateContent>
      </w:r>
    </w:p>
    <w:sectPr w:rsidR="00F717D9" w:rsidRPr="00F717D9" w:rsidSect="00F717D9">
      <w:footerReference w:type="default" r:id="rId10"/>
      <w:pgSz w:w="12240" w:h="15840"/>
      <w:pgMar w:top="144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F5175" w14:textId="77777777" w:rsidR="00E3136E" w:rsidRDefault="00E3136E" w:rsidP="0033213F">
      <w:r>
        <w:separator/>
      </w:r>
    </w:p>
  </w:endnote>
  <w:endnote w:type="continuationSeparator" w:id="0">
    <w:p w14:paraId="6341D00E" w14:textId="77777777" w:rsidR="00E3136E" w:rsidRDefault="00E3136E" w:rsidP="00332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2793117"/>
      <w:docPartObj>
        <w:docPartGallery w:val="Page Numbers (Bottom of Page)"/>
        <w:docPartUnique/>
      </w:docPartObj>
    </w:sdtPr>
    <w:sdtContent>
      <w:p w14:paraId="47113106" w14:textId="08245461" w:rsidR="0033213F" w:rsidRDefault="0033213F" w:rsidP="00B1081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99885D" w14:textId="77777777" w:rsidR="0033213F" w:rsidRDefault="0033213F" w:rsidP="003321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CE9C" w14:textId="2A819A54" w:rsidR="0033213F" w:rsidRDefault="00092481" w:rsidP="008E2A89">
    <w:pPr>
      <w:pStyle w:val="Footer"/>
      <w:ind w:right="36"/>
      <w:jc w:val="right"/>
    </w:pPr>
    <w:r>
      <w:rPr>
        <w:noProof/>
      </w:rPr>
      <w:drawing>
        <wp:inline distT="0" distB="0" distL="0" distR="0" wp14:anchorId="490A4189" wp14:editId="10046688">
          <wp:extent cx="2194544" cy="1022839"/>
          <wp:effectExtent l="0" t="0" r="3175" b="6350"/>
          <wp:docPr id="655647909" name="Picture 655647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063840" name="Picture 729063840"/>
                  <pic:cNvPicPr/>
                </pic:nvPicPr>
                <pic:blipFill rotWithShape="1">
                  <a:blip r:embed="rId1">
                    <a:extLst>
                      <a:ext uri="{28A0092B-C50C-407E-A947-70E740481C1C}">
                        <a14:useLocalDpi xmlns:a14="http://schemas.microsoft.com/office/drawing/2010/main" val="0"/>
                      </a:ext>
                    </a:extLst>
                  </a:blip>
                  <a:srcRect/>
                  <a:stretch/>
                </pic:blipFill>
                <pic:spPr>
                  <a:xfrm>
                    <a:off x="0" y="0"/>
                    <a:ext cx="2387821" cy="111292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36"/>
        <w:szCs w:val="36"/>
      </w:rPr>
      <w:id w:val="-1480684829"/>
      <w:docPartObj>
        <w:docPartGallery w:val="Page Numbers (Bottom of Page)"/>
        <w:docPartUnique/>
      </w:docPartObj>
    </w:sdtPr>
    <w:sdtContent>
      <w:p w14:paraId="42244B71" w14:textId="77777777" w:rsidR="00F717D9" w:rsidRPr="0033213F" w:rsidRDefault="00F717D9" w:rsidP="00B1081F">
        <w:pPr>
          <w:pStyle w:val="Footer"/>
          <w:framePr w:wrap="none" w:vAnchor="text" w:hAnchor="margin" w:xAlign="right" w:y="1"/>
          <w:rPr>
            <w:rStyle w:val="PageNumber"/>
            <w:rFonts w:ascii="Arial" w:hAnsi="Arial" w:cs="Arial"/>
            <w:sz w:val="36"/>
            <w:szCs w:val="36"/>
          </w:rPr>
        </w:pPr>
        <w:r w:rsidRPr="0033213F">
          <w:rPr>
            <w:rStyle w:val="PageNumber"/>
            <w:rFonts w:ascii="Arial" w:hAnsi="Arial" w:cs="Arial"/>
            <w:sz w:val="36"/>
            <w:szCs w:val="36"/>
          </w:rPr>
          <w:fldChar w:fldCharType="begin"/>
        </w:r>
        <w:r w:rsidRPr="0033213F">
          <w:rPr>
            <w:rStyle w:val="PageNumber"/>
            <w:rFonts w:ascii="Arial" w:hAnsi="Arial" w:cs="Arial"/>
            <w:sz w:val="36"/>
            <w:szCs w:val="36"/>
          </w:rPr>
          <w:instrText xml:space="preserve"> PAGE </w:instrText>
        </w:r>
        <w:r w:rsidRPr="0033213F">
          <w:rPr>
            <w:rStyle w:val="PageNumber"/>
            <w:rFonts w:ascii="Arial" w:hAnsi="Arial" w:cs="Arial"/>
            <w:sz w:val="36"/>
            <w:szCs w:val="36"/>
          </w:rPr>
          <w:fldChar w:fldCharType="separate"/>
        </w:r>
        <w:r w:rsidRPr="0033213F">
          <w:rPr>
            <w:rStyle w:val="PageNumber"/>
            <w:rFonts w:ascii="Arial" w:hAnsi="Arial" w:cs="Arial"/>
            <w:noProof/>
            <w:sz w:val="36"/>
            <w:szCs w:val="36"/>
          </w:rPr>
          <w:t>1</w:t>
        </w:r>
        <w:r w:rsidRPr="0033213F">
          <w:rPr>
            <w:rStyle w:val="PageNumber"/>
            <w:rFonts w:ascii="Arial" w:hAnsi="Arial" w:cs="Arial"/>
            <w:sz w:val="36"/>
            <w:szCs w:val="36"/>
          </w:rPr>
          <w:fldChar w:fldCharType="end"/>
        </w:r>
      </w:p>
    </w:sdtContent>
  </w:sdt>
  <w:p w14:paraId="056F01D3" w14:textId="77777777" w:rsidR="00F717D9" w:rsidRDefault="00F717D9" w:rsidP="0033213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0130" w14:textId="77777777" w:rsidR="00F717D9" w:rsidRDefault="00F717D9" w:rsidP="0033213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33C5A" w14:textId="77777777" w:rsidR="00E3136E" w:rsidRDefault="00E3136E" w:rsidP="0033213F">
      <w:r>
        <w:separator/>
      </w:r>
    </w:p>
  </w:footnote>
  <w:footnote w:type="continuationSeparator" w:id="0">
    <w:p w14:paraId="0917C71A" w14:textId="77777777" w:rsidR="00E3136E" w:rsidRDefault="00E3136E" w:rsidP="00332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4625"/>
    <w:multiLevelType w:val="hybridMultilevel"/>
    <w:tmpl w:val="7B840F0E"/>
    <w:lvl w:ilvl="0" w:tplc="E18C5924">
      <w:start w:val="1"/>
      <w:numFmt w:val="decimal"/>
      <w:pStyle w:val="Endnot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C426F3"/>
    <w:multiLevelType w:val="hybridMultilevel"/>
    <w:tmpl w:val="ECD2D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D35611"/>
    <w:multiLevelType w:val="hybridMultilevel"/>
    <w:tmpl w:val="7E282A00"/>
    <w:lvl w:ilvl="0" w:tplc="B84A94EE">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1393913">
    <w:abstractNumId w:val="2"/>
  </w:num>
  <w:num w:numId="2" w16cid:durableId="1826892196">
    <w:abstractNumId w:val="1"/>
  </w:num>
  <w:num w:numId="3" w16cid:durableId="381639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13F"/>
    <w:rsid w:val="00003312"/>
    <w:rsid w:val="00092481"/>
    <w:rsid w:val="000A2664"/>
    <w:rsid w:val="0033213F"/>
    <w:rsid w:val="00411BA7"/>
    <w:rsid w:val="00463946"/>
    <w:rsid w:val="008E2A89"/>
    <w:rsid w:val="009B031D"/>
    <w:rsid w:val="00AC01DF"/>
    <w:rsid w:val="00B970AC"/>
    <w:rsid w:val="00D352A4"/>
    <w:rsid w:val="00E3136E"/>
    <w:rsid w:val="00E55837"/>
    <w:rsid w:val="00E65596"/>
    <w:rsid w:val="00EB49AB"/>
    <w:rsid w:val="00F61862"/>
    <w:rsid w:val="00F71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4C8A5"/>
  <w15:chartTrackingRefBased/>
  <w15:docId w15:val="{5A57857C-51B2-5A43-8C7D-D532AC41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59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3213F"/>
    <w:pPr>
      <w:tabs>
        <w:tab w:val="center" w:pos="4680"/>
        <w:tab w:val="right" w:pos="9360"/>
      </w:tabs>
    </w:pPr>
  </w:style>
  <w:style w:type="character" w:customStyle="1" w:styleId="FooterChar">
    <w:name w:val="Footer Char"/>
    <w:basedOn w:val="DefaultParagraphFont"/>
    <w:link w:val="Footer"/>
    <w:uiPriority w:val="99"/>
    <w:rsid w:val="0033213F"/>
  </w:style>
  <w:style w:type="character" w:styleId="PageNumber">
    <w:name w:val="page number"/>
    <w:basedOn w:val="DefaultParagraphFont"/>
    <w:uiPriority w:val="99"/>
    <w:semiHidden/>
    <w:unhideWhenUsed/>
    <w:rsid w:val="0033213F"/>
  </w:style>
  <w:style w:type="paragraph" w:styleId="Header">
    <w:name w:val="header"/>
    <w:basedOn w:val="Normal"/>
    <w:link w:val="HeaderChar"/>
    <w:uiPriority w:val="99"/>
    <w:unhideWhenUsed/>
    <w:rsid w:val="0033213F"/>
    <w:pPr>
      <w:tabs>
        <w:tab w:val="center" w:pos="4680"/>
        <w:tab w:val="right" w:pos="9360"/>
      </w:tabs>
    </w:pPr>
  </w:style>
  <w:style w:type="character" w:customStyle="1" w:styleId="HeaderChar">
    <w:name w:val="Header Char"/>
    <w:basedOn w:val="DefaultParagraphFont"/>
    <w:link w:val="Header"/>
    <w:uiPriority w:val="99"/>
    <w:rsid w:val="0033213F"/>
  </w:style>
  <w:style w:type="paragraph" w:styleId="ListParagraph">
    <w:name w:val="List Paragraph"/>
    <w:basedOn w:val="Normal"/>
    <w:uiPriority w:val="34"/>
    <w:qFormat/>
    <w:rsid w:val="0033213F"/>
    <w:pPr>
      <w:ind w:left="720"/>
      <w:contextualSpacing/>
    </w:pPr>
  </w:style>
  <w:style w:type="paragraph" w:customStyle="1" w:styleId="Bullets">
    <w:name w:val="Bullets"/>
    <w:basedOn w:val="ListParagraph"/>
    <w:qFormat/>
    <w:rsid w:val="0033213F"/>
    <w:pPr>
      <w:numPr>
        <w:numId w:val="1"/>
      </w:numPr>
      <w:spacing w:before="360" w:line="312" w:lineRule="auto"/>
      <w:contextualSpacing w:val="0"/>
    </w:pPr>
    <w:rPr>
      <w:rFonts w:ascii="Arial" w:hAnsi="Arial" w:cs="Arial"/>
      <w:sz w:val="36"/>
      <w:szCs w:val="36"/>
    </w:rPr>
  </w:style>
  <w:style w:type="paragraph" w:customStyle="1" w:styleId="Heading">
    <w:name w:val="Heading"/>
    <w:basedOn w:val="Normal"/>
    <w:qFormat/>
    <w:rsid w:val="0033213F"/>
    <w:pPr>
      <w:spacing w:before="480"/>
    </w:pPr>
    <w:rPr>
      <w:rFonts w:ascii="Arial" w:hAnsi="Arial" w:cs="Arial"/>
      <w:b/>
      <w:bCs/>
      <w:sz w:val="60"/>
      <w:szCs w:val="60"/>
    </w:rPr>
  </w:style>
  <w:style w:type="character" w:styleId="Hyperlink">
    <w:name w:val="Hyperlink"/>
    <w:basedOn w:val="DefaultParagraphFont"/>
    <w:uiPriority w:val="99"/>
    <w:unhideWhenUsed/>
    <w:rsid w:val="00F717D9"/>
    <w:rPr>
      <w:color w:val="0563C1" w:themeColor="hyperlink"/>
      <w:u w:val="single"/>
    </w:rPr>
  </w:style>
  <w:style w:type="character" w:styleId="UnresolvedMention">
    <w:name w:val="Unresolved Mention"/>
    <w:basedOn w:val="DefaultParagraphFont"/>
    <w:uiPriority w:val="99"/>
    <w:semiHidden/>
    <w:unhideWhenUsed/>
    <w:rsid w:val="00F717D9"/>
    <w:rPr>
      <w:color w:val="605E5C"/>
      <w:shd w:val="clear" w:color="auto" w:fill="E1DFDD"/>
    </w:rPr>
  </w:style>
  <w:style w:type="paragraph" w:customStyle="1" w:styleId="Copy">
    <w:name w:val="Copy"/>
    <w:basedOn w:val="Normal"/>
    <w:uiPriority w:val="99"/>
    <w:qFormat/>
    <w:rsid w:val="00F717D9"/>
    <w:pPr>
      <w:spacing w:before="480" w:line="312" w:lineRule="auto"/>
    </w:pPr>
    <w:rPr>
      <w:rFonts w:ascii="Arial" w:hAnsi="Arial" w:cs="Arial"/>
      <w:sz w:val="36"/>
      <w:szCs w:val="36"/>
    </w:rPr>
  </w:style>
  <w:style w:type="paragraph" w:customStyle="1" w:styleId="Endnotes">
    <w:name w:val="Endnotes"/>
    <w:basedOn w:val="Copy"/>
    <w:qFormat/>
    <w:rsid w:val="000A2664"/>
    <w:pPr>
      <w:numPr>
        <w:numId w:val="3"/>
      </w:numPr>
      <w:spacing w:before="360"/>
      <w:ind w:left="630" w:hanging="6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2822</Words>
  <Characters>16089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Holford</dc:creator>
  <cp:keywords/>
  <dc:description/>
  <cp:lastModifiedBy>Lesley Holford</cp:lastModifiedBy>
  <cp:revision>2</cp:revision>
  <dcterms:created xsi:type="dcterms:W3CDTF">2023-11-29T18:04:00Z</dcterms:created>
  <dcterms:modified xsi:type="dcterms:W3CDTF">2023-11-29T18:04:00Z</dcterms:modified>
</cp:coreProperties>
</file>